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77777777" w:rsidR="00CB163D" w:rsidRPr="00FF012C" w:rsidRDefault="00CB163D" w:rsidP="00CB163D">
      <w:pPr>
        <w:pStyle w:val="Title"/>
        <w:rPr>
          <w:sz w:val="24"/>
          <w:szCs w:val="24"/>
        </w:rPr>
      </w:pPr>
      <w:r w:rsidRPr="00FF012C">
        <w:rPr>
          <w:sz w:val="24"/>
          <w:szCs w:val="24"/>
        </w:rPr>
        <w:t>Rwanda Health Enterprise Architecture (RHEA) Project</w:t>
      </w:r>
      <w:r w:rsidR="00FF012C">
        <w:rPr>
          <w:sz w:val="24"/>
          <w:szCs w:val="24"/>
        </w:rPr>
        <w:t xml:space="preserve"> </w:t>
      </w:r>
      <w:r w:rsidRPr="00FF012C">
        <w:rPr>
          <w:sz w:val="24"/>
          <w:szCs w:val="24"/>
        </w:rPr>
        <w:t xml:space="preserve">Conference Call Minutes </w:t>
      </w:r>
    </w:p>
    <w:p w14:paraId="72649B3E" w14:textId="77777777" w:rsidR="00CB163D" w:rsidRDefault="00CB163D" w:rsidP="00CB163D">
      <w:pPr>
        <w:pStyle w:val="Heading1"/>
      </w:pPr>
      <w:bookmarkStart w:id="0" w:name="_Toc127494249"/>
      <w:r>
        <w:t>Date and Time</w:t>
      </w:r>
      <w:bookmarkEnd w:id="0"/>
    </w:p>
    <w:p w14:paraId="18A49036" w14:textId="52BC60FB" w:rsidR="00CB163D" w:rsidRDefault="00B76D95" w:rsidP="00CB163D">
      <w:r>
        <w:t>June 14</w:t>
      </w:r>
      <w:r w:rsidR="00A60D03" w:rsidRPr="00A60D03">
        <w:rPr>
          <w:vertAlign w:val="superscript"/>
        </w:rPr>
        <w:t>th</w:t>
      </w:r>
      <w:r w:rsidR="00A60D03">
        <w:t xml:space="preserve"> </w:t>
      </w:r>
      <w:r w:rsidR="004A4E5E">
        <w:t>2012</w:t>
      </w:r>
      <w:r w:rsidR="00ED3105">
        <w:t>,</w:t>
      </w:r>
      <w:r w:rsidR="006B4A3F">
        <w:t xml:space="preserve"> </w:t>
      </w:r>
      <w:r w:rsidR="004A4E5E">
        <w:t>2pm TO 3:30</w:t>
      </w:r>
      <w:r w:rsidR="00D85BC0">
        <w:t>pm</w:t>
      </w:r>
      <w:r w:rsidR="00CB163D">
        <w:t>, GMT +2hrs</w:t>
      </w:r>
    </w:p>
    <w:p w14:paraId="7C3D36AA" w14:textId="77777777" w:rsidR="00D6259C" w:rsidRDefault="007800C3" w:rsidP="00D6259C">
      <w:pPr>
        <w:pStyle w:val="Heading1"/>
      </w:pPr>
      <w:r>
        <w:t>Participants</w:t>
      </w:r>
    </w:p>
    <w:p w14:paraId="32EFC2A2" w14:textId="044E5D39" w:rsidR="00013B77" w:rsidRPr="00D51A69" w:rsidRDefault="000729F6" w:rsidP="00013B77">
      <w:pPr>
        <w:numPr>
          <w:ilvl w:val="0"/>
          <w:numId w:val="1"/>
        </w:numPr>
        <w:rPr>
          <w:i/>
          <w:iCs/>
        </w:rPr>
      </w:pPr>
      <w:r w:rsidRPr="00A02B83">
        <w:t xml:space="preserve">Carl Fourie (CF), Rhonwyn Cornell (RhC), Linda Taylor (LT),Hannes Venter (HV), </w:t>
      </w:r>
      <w:r>
        <w:t xml:space="preserve"> </w:t>
      </w:r>
      <w:r w:rsidRPr="00A02B83">
        <w:t xml:space="preserve"> </w:t>
      </w:r>
      <w:r w:rsidR="00600B4E">
        <w:t xml:space="preserve">Lorinne Banister (LB),Liz Peloso (LP),Paul Biondich (PB), </w:t>
      </w:r>
      <w:r w:rsidRPr="00277737">
        <w:t xml:space="preserve">Mead Walker (MW), Ryan Crichton (RC),  Liz Peloso (LP),  </w:t>
      </w:r>
      <w:r>
        <w:t>Carl Lautner (CL</w:t>
      </w:r>
      <w:r w:rsidR="00600B4E">
        <w:t>), Brooke  Buchanan (BB</w:t>
      </w:r>
      <w:r>
        <w:t>), Michel Makolo (MM)</w:t>
      </w:r>
      <w:r w:rsidR="00600B4E">
        <w:t xml:space="preserve">, Emmanuel Rugomboka (ER), </w:t>
      </w:r>
      <w:proofErr w:type="spellStart"/>
      <w:r w:rsidR="00600B4E">
        <w:t>Dykki</w:t>
      </w:r>
      <w:proofErr w:type="spellEnd"/>
      <w:r w:rsidR="00600B4E">
        <w:t xml:space="preserve"> Settle (DS</w:t>
      </w:r>
      <w:r w:rsidR="004B30FA">
        <w:t>)</w:t>
      </w:r>
      <w:r w:rsidR="00600B4E">
        <w:t>.</w:t>
      </w:r>
    </w:p>
    <w:p w14:paraId="7F4652B0" w14:textId="77777777" w:rsidR="00FD1FDC" w:rsidRDefault="00FD1FDC" w:rsidP="00EE5F44">
      <w:pPr>
        <w:rPr>
          <w:b/>
          <w:bCs/>
          <w:sz w:val="28"/>
          <w:szCs w:val="28"/>
        </w:rPr>
      </w:pPr>
    </w:p>
    <w:p w14:paraId="330A8D6E" w14:textId="77777777" w:rsidR="00EE5F44" w:rsidRDefault="00013B77" w:rsidP="00EE5F44">
      <w:pPr>
        <w:rPr>
          <w:b/>
          <w:bCs/>
          <w:sz w:val="28"/>
          <w:szCs w:val="28"/>
        </w:rPr>
      </w:pPr>
      <w:r w:rsidRPr="007A1F83">
        <w:rPr>
          <w:b/>
          <w:bCs/>
          <w:sz w:val="28"/>
          <w:szCs w:val="28"/>
        </w:rPr>
        <w:t>A</w:t>
      </w:r>
      <w:r w:rsidR="007A1F83">
        <w:rPr>
          <w:b/>
          <w:bCs/>
          <w:sz w:val="28"/>
          <w:szCs w:val="28"/>
        </w:rPr>
        <w:t>genda</w:t>
      </w:r>
      <w:r w:rsidR="00A301AD">
        <w:rPr>
          <w:b/>
          <w:bCs/>
          <w:sz w:val="28"/>
          <w:szCs w:val="28"/>
        </w:rPr>
        <w:t xml:space="preserve"> </w:t>
      </w:r>
    </w:p>
    <w:p w14:paraId="395BBFF4" w14:textId="2C75E763" w:rsidR="00A60D03" w:rsidRPr="00A60D03" w:rsidRDefault="00A60D03" w:rsidP="00A60D03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hAnsiTheme="minorHAnsi" w:cstheme="minorHAnsi"/>
          <w:color w:val="141414"/>
        </w:rPr>
        <w:t>Project progress - RhC</w:t>
      </w:r>
    </w:p>
    <w:p w14:paraId="0FDFD56D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41414"/>
        </w:rPr>
        <w:t>Facility Registry update - EJ</w:t>
      </w:r>
    </w:p>
    <w:p w14:paraId="190B6BA6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41414"/>
        </w:rPr>
        <w:t>Provider Registry update - DS</w:t>
      </w:r>
    </w:p>
    <w:p w14:paraId="662D89DB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41414"/>
        </w:rPr>
        <w:t>Client Registry update – SG</w:t>
      </w:r>
    </w:p>
    <w:p w14:paraId="7C0E8C7E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A1A1A"/>
        </w:rPr>
        <w:t>Shared Health Record update– WN</w:t>
      </w:r>
    </w:p>
    <w:p w14:paraId="5530BA3A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A1A1A"/>
        </w:rPr>
        <w:t>Interoperability layer update– RC</w:t>
      </w:r>
    </w:p>
    <w:p w14:paraId="49653808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A1A1A"/>
        </w:rPr>
        <w:t>Terminology Service update- HV</w:t>
      </w:r>
    </w:p>
    <w:p w14:paraId="4B237980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A1A1A"/>
        </w:rPr>
        <w:t>OpenMRS update – WN</w:t>
      </w:r>
    </w:p>
    <w:p w14:paraId="2AF9013D" w14:textId="77777777" w:rsidR="00A60D03" w:rsidRPr="00A60D03" w:rsidRDefault="00A60D03" w:rsidP="00A60D03">
      <w:pPr>
        <w:pStyle w:val="ListParagraph"/>
        <w:widowControl w:val="0"/>
        <w:numPr>
          <w:ilvl w:val="1"/>
          <w:numId w:val="35"/>
        </w:num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eastAsiaTheme="majorHAnsi" w:hAnsiTheme="minorHAnsi" w:cstheme="minorHAnsi"/>
          <w:color w:val="1A1A1A"/>
        </w:rPr>
        <w:t>◦</w:t>
      </w:r>
      <w:r w:rsidRPr="00A60D03">
        <w:rPr>
          <w:rFonts w:asciiTheme="minorHAnsi" w:eastAsiaTheme="majorHAnsi" w:hAnsiTheme="minorHAnsi" w:cstheme="minorHAnsi"/>
          <w:color w:val="1A1A1A"/>
          <w:sz w:val="14"/>
          <w:szCs w:val="14"/>
        </w:rPr>
        <w:t xml:space="preserve">                      </w:t>
      </w:r>
      <w:r w:rsidRPr="00A60D03">
        <w:rPr>
          <w:rFonts w:asciiTheme="minorHAnsi" w:hAnsiTheme="minorHAnsi" w:cstheme="minorHAnsi"/>
          <w:color w:val="1A1A1A"/>
        </w:rPr>
        <w:t>RapidSMS update- WN</w:t>
      </w:r>
    </w:p>
    <w:p w14:paraId="3E5B9D5F" w14:textId="4293F3CA" w:rsidR="00476600" w:rsidRDefault="00476600" w:rsidP="0047660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/>
      </w:pPr>
      <w:r w:rsidRPr="00476600">
        <w:rPr>
          <w:rFonts w:cs="Calibri"/>
          <w:color w:val="141414"/>
        </w:rPr>
        <w:t>Community Hea</w:t>
      </w:r>
      <w:r>
        <w:rPr>
          <w:rFonts w:cs="Calibri"/>
          <w:color w:val="141414"/>
        </w:rPr>
        <w:t>l</w:t>
      </w:r>
      <w:r w:rsidRPr="00476600">
        <w:rPr>
          <w:rFonts w:cs="Calibri"/>
          <w:color w:val="141414"/>
        </w:rPr>
        <w:t>th Worker (CHW) geography/facility issue – DK/CL</w:t>
      </w:r>
    </w:p>
    <w:p w14:paraId="364E82E2" w14:textId="7D0D4A29" w:rsidR="00476600" w:rsidRDefault="00476600" w:rsidP="00476600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00" w:beforeAutospacing="1" w:after="100" w:afterAutospacing="1"/>
      </w:pPr>
      <w:r w:rsidRPr="00476600">
        <w:rPr>
          <w:rFonts w:cs="Calibri"/>
          <w:color w:val="141414"/>
        </w:rPr>
        <w:t>Update on securing server space at the NDC - RG</w:t>
      </w:r>
    </w:p>
    <w:p w14:paraId="03933380" w14:textId="405EE0B8" w:rsidR="00A60D03" w:rsidRPr="00A60D03" w:rsidRDefault="00A60D03" w:rsidP="00A60D03">
      <w:pPr>
        <w:pStyle w:val="ListParagraph"/>
        <w:widowControl w:val="0"/>
        <w:numPr>
          <w:ilvl w:val="0"/>
          <w:numId w:val="3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theme="minorHAnsi"/>
        </w:rPr>
      </w:pPr>
      <w:r w:rsidRPr="00A60D03">
        <w:rPr>
          <w:rFonts w:asciiTheme="minorHAnsi" w:hAnsiTheme="minorHAnsi" w:cstheme="minorHAnsi"/>
          <w:color w:val="1A1A1A"/>
        </w:rPr>
        <w:t>Any other business</w:t>
      </w:r>
    </w:p>
    <w:p w14:paraId="355109D6" w14:textId="05BD74C1" w:rsidR="00A60D03" w:rsidRDefault="00A60D03" w:rsidP="00A60D0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rFonts w:asciiTheme="majorHAnsi" w:hAnsiTheme="majorHAnsi" w:cs="Arial"/>
          <w:color w:val="1A1A1A"/>
        </w:rPr>
        <w:t> </w:t>
      </w:r>
    </w:p>
    <w:p w14:paraId="58898386" w14:textId="77777777" w:rsidR="00A77190" w:rsidRDefault="00483549" w:rsidP="00A77190">
      <w:pPr>
        <w:pStyle w:val="Heading1"/>
      </w:pPr>
      <w:r>
        <w:t>M</w:t>
      </w:r>
      <w:r w:rsidR="00C908CB">
        <w:t xml:space="preserve">inutes </w:t>
      </w:r>
      <w:r w:rsidR="00A77190">
        <w:t xml:space="preserve">Call Recording </w:t>
      </w:r>
    </w:p>
    <w:p w14:paraId="55563BE1" w14:textId="77777777" w:rsidR="00B76D95" w:rsidRDefault="007F2EE9" w:rsidP="00B16E1F">
      <w:r>
        <w:br/>
      </w:r>
      <w:r w:rsidR="00600B4E">
        <w:t>The link for audio streaming is below.</w:t>
      </w:r>
      <w:r w:rsidR="00600B4E">
        <w:br/>
      </w:r>
    </w:p>
    <w:p w14:paraId="4B5CA073" w14:textId="6843FD6E" w:rsidR="00B16E1F" w:rsidRPr="00B16E1F" w:rsidRDefault="00600B4E" w:rsidP="00B16E1F">
      <w:r>
        <w:t>Recordings are deleted after 30 days.</w:t>
      </w:r>
    </w:p>
    <w:p w14:paraId="3B84316C" w14:textId="77777777" w:rsidR="00B16E1F" w:rsidRPr="00B16E1F" w:rsidRDefault="00B16E1F" w:rsidP="0033689B">
      <w:pPr>
        <w:rPr>
          <w:b/>
          <w:i/>
        </w:rPr>
      </w:pPr>
    </w:p>
    <w:p w14:paraId="643E214B" w14:textId="77777777" w:rsidR="0033689B" w:rsidRDefault="0033689B" w:rsidP="00097200">
      <w:pPr>
        <w:jc w:val="both"/>
        <w:rPr>
          <w:b/>
          <w:i/>
        </w:rPr>
      </w:pPr>
      <w:r w:rsidRPr="00881032">
        <w:rPr>
          <w:b/>
          <w:i/>
        </w:rPr>
        <w:t>Key points of discussion:</w:t>
      </w:r>
    </w:p>
    <w:p w14:paraId="02C59606" w14:textId="77777777" w:rsidR="00FD1FDC" w:rsidRDefault="00FD1FDC" w:rsidP="00097200">
      <w:pPr>
        <w:jc w:val="both"/>
        <w:rPr>
          <w:b/>
          <w:i/>
        </w:rPr>
      </w:pPr>
    </w:p>
    <w:p w14:paraId="577F11EF" w14:textId="610A8D3A" w:rsidR="00A371A3" w:rsidRPr="00A371A3" w:rsidRDefault="00A371A3" w:rsidP="00097200">
      <w:pPr>
        <w:jc w:val="both"/>
        <w:rPr>
          <w:b/>
        </w:rPr>
      </w:pPr>
      <w:r w:rsidRPr="00A371A3">
        <w:rPr>
          <w:b/>
          <w:i/>
        </w:rPr>
        <w:t>Overall project</w:t>
      </w:r>
      <w:r w:rsidRPr="00A371A3">
        <w:rPr>
          <w:b/>
        </w:rPr>
        <w:t xml:space="preserve"> </w:t>
      </w:r>
    </w:p>
    <w:p w14:paraId="5BF92A7A" w14:textId="3FEAE933" w:rsidR="00A371A3" w:rsidRDefault="00376639" w:rsidP="00097200">
      <w:pPr>
        <w:jc w:val="both"/>
      </w:pPr>
      <w:r>
        <w:t xml:space="preserve">Work on registries moving ahead now and working with MoH around roll-out of OpenMRS and finalizing contract with </w:t>
      </w:r>
      <w:proofErr w:type="spellStart"/>
      <w:r>
        <w:t>Sysnet</w:t>
      </w:r>
      <w:proofErr w:type="spellEnd"/>
      <w:r>
        <w:t xml:space="preserve">. </w:t>
      </w:r>
    </w:p>
    <w:p w14:paraId="1E9A7A4F" w14:textId="77777777" w:rsidR="004B30FA" w:rsidRDefault="004B30FA" w:rsidP="00097200">
      <w:pPr>
        <w:jc w:val="both"/>
        <w:rPr>
          <w:b/>
          <w:i/>
        </w:rPr>
      </w:pPr>
    </w:p>
    <w:p w14:paraId="66574ED9" w14:textId="77777777" w:rsidR="00A371A3" w:rsidRDefault="00A371A3" w:rsidP="00097200">
      <w:pPr>
        <w:jc w:val="both"/>
      </w:pPr>
      <w:r w:rsidRPr="00A371A3">
        <w:rPr>
          <w:b/>
          <w:i/>
        </w:rPr>
        <w:lastRenderedPageBreak/>
        <w:t>Facility Registry</w:t>
      </w:r>
      <w:r>
        <w:t xml:space="preserve"> </w:t>
      </w:r>
    </w:p>
    <w:p w14:paraId="7DD738D2" w14:textId="278A1172" w:rsidR="00376639" w:rsidRDefault="00376639" w:rsidP="00376639">
      <w:pPr>
        <w:jc w:val="both"/>
      </w:pPr>
      <w:r>
        <w:t xml:space="preserve">The MoH has identified people who need training for FR and training will be 4 calls followed by face-to-face training in July. EJ and RhC </w:t>
      </w:r>
      <w:r>
        <w:t xml:space="preserve">are </w:t>
      </w:r>
      <w:r>
        <w:t>working on content of these training sessions/workshops. Looking as when will be able to move FR into the NDC.</w:t>
      </w:r>
      <w:r>
        <w:t xml:space="preserve">  </w:t>
      </w:r>
    </w:p>
    <w:p w14:paraId="4062E9EE" w14:textId="76CC0B04" w:rsidR="00A60D03" w:rsidRDefault="00376639" w:rsidP="00097200">
      <w:pPr>
        <w:jc w:val="both"/>
      </w:pPr>
      <w:r w:rsidRPr="00376639">
        <w:t xml:space="preserve">RG asked if possible to keep both versions of the FR for now? Users preferred the older version UI although it has less information. </w:t>
      </w:r>
    </w:p>
    <w:p w14:paraId="0CCF9909" w14:textId="1D179B51" w:rsidR="00376639" w:rsidRDefault="00376639" w:rsidP="00097200">
      <w:pPr>
        <w:jc w:val="both"/>
      </w:pPr>
      <w:r>
        <w:t xml:space="preserve">RC will discuss with EJ – may be a challenge to keep both running at same time to keep two versions in sync. May be better to tweak UI of new version to fit needs better.  </w:t>
      </w:r>
    </w:p>
    <w:p w14:paraId="665FBCC6" w14:textId="77777777" w:rsidR="00376639" w:rsidRPr="00376639" w:rsidRDefault="00376639" w:rsidP="00097200">
      <w:pPr>
        <w:jc w:val="both"/>
      </w:pPr>
    </w:p>
    <w:p w14:paraId="30658695" w14:textId="5EB7D1AD" w:rsidR="00FD1FDC" w:rsidRDefault="00433D5E" w:rsidP="00097200">
      <w:pPr>
        <w:jc w:val="both"/>
        <w:rPr>
          <w:b/>
          <w:i/>
        </w:rPr>
      </w:pPr>
      <w:r w:rsidRPr="00795356">
        <w:rPr>
          <w:b/>
          <w:i/>
        </w:rPr>
        <w:t>Provider R</w:t>
      </w:r>
      <w:r w:rsidR="00AC6837" w:rsidRPr="00795356">
        <w:rPr>
          <w:b/>
          <w:i/>
        </w:rPr>
        <w:t>egistry</w:t>
      </w:r>
    </w:p>
    <w:p w14:paraId="53DB9F93" w14:textId="189E4BD6" w:rsidR="007B3A61" w:rsidRPr="007B3A61" w:rsidRDefault="00376639" w:rsidP="00097200">
      <w:pPr>
        <w:jc w:val="both"/>
      </w:pPr>
      <w:r w:rsidRPr="007B3A61">
        <w:t>DS-Call yesterday mor</w:t>
      </w:r>
      <w:r w:rsidR="007B3A61">
        <w:t>e focused on logistics and data. Have now r</w:t>
      </w:r>
      <w:r w:rsidRPr="007B3A61">
        <w:t>eceived data from CHW implementation and other IHRIS data</w:t>
      </w:r>
      <w:r w:rsidR="007B3A61">
        <w:t xml:space="preserve"> so are working on that</w:t>
      </w:r>
      <w:r w:rsidRPr="007B3A61">
        <w:t xml:space="preserve">. Scheduling training for August and also spoke to RhC around September meeting. </w:t>
      </w:r>
      <w:r w:rsidR="007B3A61">
        <w:t xml:space="preserve"> Team w</w:t>
      </w:r>
      <w:r w:rsidR="007B3A61" w:rsidRPr="007B3A61">
        <w:t>ill be working on UI (possibly using Bootstrap) next.</w:t>
      </w:r>
    </w:p>
    <w:p w14:paraId="6706FAE9" w14:textId="091A60DC" w:rsidR="007B3A61" w:rsidRDefault="007B3A61" w:rsidP="007B3A61">
      <w:pPr>
        <w:tabs>
          <w:tab w:val="left" w:pos="8055"/>
        </w:tabs>
        <w:jc w:val="both"/>
      </w:pPr>
      <w:r>
        <w:t>RC</w:t>
      </w:r>
      <w:r w:rsidR="004B30FA">
        <w:t>-</w:t>
      </w:r>
      <w:r>
        <w:t xml:space="preserve">we are close to being able to do proper integration testing with “real” systems rather than mock services. </w:t>
      </w:r>
    </w:p>
    <w:p w14:paraId="7E6E0191" w14:textId="11D4A1BA" w:rsidR="00034E80" w:rsidRDefault="00C330BC" w:rsidP="007B3A61">
      <w:pPr>
        <w:tabs>
          <w:tab w:val="left" w:pos="8055"/>
        </w:tabs>
        <w:jc w:val="both"/>
        <w:rPr>
          <w:i/>
        </w:rPr>
      </w:pPr>
      <w:r w:rsidRPr="007B3A61">
        <w:tab/>
      </w:r>
    </w:p>
    <w:p w14:paraId="054D6DA8" w14:textId="77777777" w:rsidR="00034E80" w:rsidRPr="00795356" w:rsidRDefault="00034E80" w:rsidP="00034E80">
      <w:pPr>
        <w:jc w:val="both"/>
        <w:rPr>
          <w:b/>
          <w:i/>
        </w:rPr>
      </w:pPr>
      <w:r w:rsidRPr="00795356">
        <w:rPr>
          <w:b/>
          <w:i/>
        </w:rPr>
        <w:t xml:space="preserve">Client Registry </w:t>
      </w:r>
    </w:p>
    <w:p w14:paraId="18A55015" w14:textId="6A085376" w:rsidR="00034E80" w:rsidRDefault="004B30FA" w:rsidP="00097200">
      <w:pPr>
        <w:jc w:val="both"/>
      </w:pPr>
      <w:r>
        <w:t xml:space="preserve">RC reported back from technical discussion on last call and LB said that contract should be finalised by end of this week.  </w:t>
      </w:r>
    </w:p>
    <w:p w14:paraId="54029DE7" w14:textId="77777777" w:rsidR="004B30FA" w:rsidRPr="00034E80" w:rsidRDefault="004B30FA" w:rsidP="00097200">
      <w:pPr>
        <w:jc w:val="both"/>
      </w:pPr>
    </w:p>
    <w:p w14:paraId="549C74EF" w14:textId="721FE58D" w:rsidR="005E75AE" w:rsidRDefault="005E75AE" w:rsidP="00097200">
      <w:pPr>
        <w:jc w:val="both"/>
        <w:rPr>
          <w:b/>
          <w:i/>
        </w:rPr>
      </w:pPr>
      <w:r>
        <w:rPr>
          <w:b/>
          <w:i/>
        </w:rPr>
        <w:t>SHR, OpenMRS and RapidSMS components</w:t>
      </w:r>
    </w:p>
    <w:p w14:paraId="4226A388" w14:textId="1E940494" w:rsidR="00214546" w:rsidRDefault="00062B9B" w:rsidP="00097200">
      <w:pPr>
        <w:jc w:val="both"/>
      </w:pPr>
      <w:r w:rsidRPr="00062B9B">
        <w:t xml:space="preserve">RC- </w:t>
      </w:r>
      <w:r>
        <w:t>IOP work going well and o</w:t>
      </w:r>
      <w:r w:rsidRPr="00062B9B">
        <w:t xml:space="preserve">rchestrations working well with mock services now. </w:t>
      </w:r>
    </w:p>
    <w:p w14:paraId="2F805CE3" w14:textId="039241C6" w:rsidR="00062B9B" w:rsidRDefault="00062B9B" w:rsidP="00097200">
      <w:pPr>
        <w:jc w:val="both"/>
      </w:pPr>
      <w:r>
        <w:t xml:space="preserve">The SHR and OpenMRS work continuing on schedule and plan to be able to start integration testing with IOP next week. </w:t>
      </w:r>
    </w:p>
    <w:p w14:paraId="2C2ADDF8" w14:textId="65BF2A9E" w:rsidR="00062B9B" w:rsidRDefault="00062B9B" w:rsidP="00097200">
      <w:pPr>
        <w:jc w:val="both"/>
      </w:pPr>
      <w:r>
        <w:t>LP – Asked when OpenMRS will be rolled out in the clinics- still planned for August? RhC had planned mid to end of July but MoH best placed to decide when it will be best to do.</w:t>
      </w:r>
    </w:p>
    <w:p w14:paraId="71D2EB54" w14:textId="77777777" w:rsidR="00062B9B" w:rsidRDefault="00062B9B" w:rsidP="00097200">
      <w:pPr>
        <w:jc w:val="both"/>
      </w:pPr>
    </w:p>
    <w:p w14:paraId="439ADFFD" w14:textId="64CF6658" w:rsidR="00062B9B" w:rsidRPr="00062B9B" w:rsidRDefault="00062B9B" w:rsidP="00097200">
      <w:pPr>
        <w:jc w:val="both"/>
        <w:rPr>
          <w:b/>
          <w:i/>
        </w:rPr>
      </w:pPr>
      <w:r w:rsidRPr="00062B9B">
        <w:rPr>
          <w:b/>
          <w:i/>
        </w:rPr>
        <w:t>Securing hosting space at NDC</w:t>
      </w:r>
    </w:p>
    <w:p w14:paraId="278FCB19" w14:textId="55713749" w:rsidR="00062B9B" w:rsidRDefault="00062B9B" w:rsidP="00097200">
      <w:pPr>
        <w:jc w:val="both"/>
      </w:pPr>
      <w:r>
        <w:t xml:space="preserve">RG-Have not yet signed a contract with National Data Centre but hope to have agreement in place in 3-4 weeks. </w:t>
      </w:r>
    </w:p>
    <w:p w14:paraId="7362E1C1" w14:textId="6BF598EB" w:rsidR="00062B9B" w:rsidRDefault="00062B9B" w:rsidP="00097200">
      <w:pPr>
        <w:jc w:val="both"/>
      </w:pPr>
      <w:r>
        <w:t>RhC- the project plan aims to have access by end of July.</w:t>
      </w:r>
    </w:p>
    <w:p w14:paraId="039629A5" w14:textId="5D8C34E3" w:rsidR="00062B9B" w:rsidRDefault="00062B9B" w:rsidP="00097200">
      <w:pPr>
        <w:jc w:val="both"/>
      </w:pPr>
      <w:r>
        <w:t xml:space="preserve">RC – Having the space available as soon as possible would be ideal as it allows more time for testing ironing out any problems. </w:t>
      </w:r>
    </w:p>
    <w:p w14:paraId="76392197" w14:textId="77777777" w:rsidR="00062B9B" w:rsidRDefault="00062B9B" w:rsidP="00097200">
      <w:pPr>
        <w:jc w:val="both"/>
      </w:pPr>
    </w:p>
    <w:p w14:paraId="31441F3E" w14:textId="1D6F5ADA" w:rsidR="00062B9B" w:rsidRDefault="00062B9B" w:rsidP="00097200">
      <w:pPr>
        <w:jc w:val="both"/>
        <w:rPr>
          <w:rFonts w:cs="Calibri"/>
          <w:color w:val="141414"/>
        </w:rPr>
      </w:pPr>
      <w:r w:rsidRPr="00476600">
        <w:rPr>
          <w:rFonts w:cs="Calibri"/>
          <w:color w:val="141414"/>
        </w:rPr>
        <w:t>Community Hea</w:t>
      </w:r>
      <w:r>
        <w:rPr>
          <w:rFonts w:cs="Calibri"/>
          <w:color w:val="141414"/>
        </w:rPr>
        <w:t>l</w:t>
      </w:r>
      <w:r w:rsidRPr="00476600">
        <w:rPr>
          <w:rFonts w:cs="Calibri"/>
          <w:color w:val="141414"/>
        </w:rPr>
        <w:t>th Worker (CHW) geography/facility issue</w:t>
      </w:r>
    </w:p>
    <w:p w14:paraId="5DBB91EA" w14:textId="77777777" w:rsidR="00062B9B" w:rsidRDefault="00062B9B" w:rsidP="00097200">
      <w:pPr>
        <w:jc w:val="both"/>
        <w:rPr>
          <w:rFonts w:cs="Calibri"/>
          <w:color w:val="141414"/>
        </w:rPr>
      </w:pPr>
      <w:r>
        <w:rPr>
          <w:rFonts w:cs="Calibri"/>
          <w:color w:val="141414"/>
        </w:rPr>
        <w:t>CL – 2 sets of data:</w:t>
      </w:r>
    </w:p>
    <w:p w14:paraId="7CCBBE52" w14:textId="5D0A2A51" w:rsidR="00062B9B" w:rsidRDefault="00062B9B" w:rsidP="00062B9B">
      <w:pPr>
        <w:ind w:firstLine="720"/>
        <w:jc w:val="both"/>
        <w:rPr>
          <w:rFonts w:cs="Calibri"/>
          <w:color w:val="141414"/>
        </w:rPr>
      </w:pPr>
      <w:r>
        <w:rPr>
          <w:rFonts w:cs="Calibri"/>
          <w:color w:val="141414"/>
        </w:rPr>
        <w:t xml:space="preserve"> CHW (associated with geographic area) and </w:t>
      </w:r>
    </w:p>
    <w:p w14:paraId="53FD220E" w14:textId="507C18CB" w:rsidR="00062B9B" w:rsidRDefault="00062B9B" w:rsidP="00062B9B">
      <w:pPr>
        <w:ind w:firstLine="720"/>
        <w:jc w:val="both"/>
        <w:rPr>
          <w:rFonts w:cs="Calibri"/>
          <w:color w:val="141414"/>
        </w:rPr>
      </w:pPr>
      <w:proofErr w:type="gramStart"/>
      <w:r>
        <w:rPr>
          <w:rFonts w:cs="Calibri"/>
          <w:color w:val="141414"/>
        </w:rPr>
        <w:t>public</w:t>
      </w:r>
      <w:proofErr w:type="gramEnd"/>
      <w:r>
        <w:rPr>
          <w:rFonts w:cs="Calibri"/>
          <w:color w:val="141414"/>
        </w:rPr>
        <w:t xml:space="preserve"> sector data (associated with a facility)</w:t>
      </w:r>
    </w:p>
    <w:p w14:paraId="6D6D6473" w14:textId="77777777" w:rsidR="003B583A" w:rsidRDefault="00062B9B" w:rsidP="003B583A">
      <w:pPr>
        <w:jc w:val="both"/>
        <w:rPr>
          <w:rFonts w:cs="Calibri"/>
          <w:color w:val="141414"/>
        </w:rPr>
      </w:pPr>
      <w:r>
        <w:rPr>
          <w:rFonts w:cs="Calibri"/>
          <w:color w:val="141414"/>
        </w:rPr>
        <w:t>The MoH health districts seem to be different to admin districts</w:t>
      </w:r>
      <w:r w:rsidR="003B583A">
        <w:rPr>
          <w:rFonts w:cs="Calibri"/>
          <w:color w:val="141414"/>
        </w:rPr>
        <w:t>. Asked for clarification:</w:t>
      </w:r>
    </w:p>
    <w:p w14:paraId="43D0029B" w14:textId="4A749E1A" w:rsidR="00062B9B" w:rsidRDefault="003B583A" w:rsidP="003B583A">
      <w:pPr>
        <w:jc w:val="both"/>
        <w:rPr>
          <w:rFonts w:cs="Calibri"/>
          <w:color w:val="141414"/>
        </w:rPr>
      </w:pPr>
      <w:r>
        <w:rPr>
          <w:rFonts w:cs="Calibri"/>
          <w:color w:val="141414"/>
        </w:rPr>
        <w:lastRenderedPageBreak/>
        <w:t>RG – each CHW reports to one health centre, not by administrative districts.</w:t>
      </w:r>
    </w:p>
    <w:p w14:paraId="76E22954" w14:textId="77777777" w:rsidR="003B583A" w:rsidRDefault="003B583A" w:rsidP="003B583A">
      <w:pPr>
        <w:jc w:val="both"/>
        <w:rPr>
          <w:rFonts w:cs="Calibri"/>
          <w:color w:val="141414"/>
        </w:rPr>
      </w:pPr>
    </w:p>
    <w:p w14:paraId="5D586C35" w14:textId="0F7DD244" w:rsidR="003B583A" w:rsidRDefault="003B583A" w:rsidP="003B583A">
      <w:pPr>
        <w:jc w:val="both"/>
        <w:rPr>
          <w:rFonts w:cs="Calibri"/>
          <w:color w:val="141414"/>
        </w:rPr>
      </w:pPr>
      <w:r>
        <w:rPr>
          <w:rFonts w:cs="Calibri"/>
          <w:color w:val="141414"/>
        </w:rPr>
        <w:t xml:space="preserve">Coding for </w:t>
      </w:r>
      <w:r>
        <w:rPr>
          <w:rFonts w:cs="Calibri"/>
          <w:color w:val="141414"/>
        </w:rPr>
        <w:t>administrative</w:t>
      </w:r>
      <w:r>
        <w:rPr>
          <w:rFonts w:cs="Calibri"/>
          <w:color w:val="141414"/>
        </w:rPr>
        <w:t xml:space="preserve"> units – who is the authoritative data source for that? Have </w:t>
      </w:r>
      <w:proofErr w:type="gramStart"/>
      <w:r>
        <w:rPr>
          <w:rFonts w:cs="Calibri"/>
          <w:color w:val="141414"/>
        </w:rPr>
        <w:t>concerns  about</w:t>
      </w:r>
      <w:proofErr w:type="gramEnd"/>
      <w:r>
        <w:rPr>
          <w:rFonts w:cs="Calibri"/>
          <w:color w:val="141414"/>
        </w:rPr>
        <w:t xml:space="preserve"> change management. </w:t>
      </w:r>
    </w:p>
    <w:p w14:paraId="5FD03870" w14:textId="2AD8639E" w:rsidR="003B583A" w:rsidRDefault="003B583A" w:rsidP="003B583A">
      <w:pPr>
        <w:jc w:val="both"/>
        <w:rPr>
          <w:rFonts w:cs="Calibri"/>
          <w:color w:val="141414"/>
        </w:rPr>
      </w:pPr>
      <w:r>
        <w:rPr>
          <w:rFonts w:cs="Calibri"/>
          <w:color w:val="141414"/>
        </w:rPr>
        <w:t xml:space="preserve">RG – This </w:t>
      </w:r>
      <w:r w:rsidR="00326090">
        <w:rPr>
          <w:rFonts w:cs="Calibri"/>
          <w:color w:val="141414"/>
        </w:rPr>
        <w:t xml:space="preserve">is managed </w:t>
      </w:r>
      <w:r>
        <w:rPr>
          <w:rFonts w:cs="Calibri"/>
          <w:color w:val="141414"/>
        </w:rPr>
        <w:t xml:space="preserve">by local government – MoH can keep lists of registries and update as necessary. These codes do not change often. The health centre / hospital address is associated with an </w:t>
      </w:r>
      <w:r>
        <w:rPr>
          <w:rFonts w:cs="Calibri"/>
          <w:color w:val="141414"/>
        </w:rPr>
        <w:t>administrative</w:t>
      </w:r>
      <w:r>
        <w:rPr>
          <w:rFonts w:cs="Calibri"/>
          <w:color w:val="141414"/>
        </w:rPr>
        <w:t xml:space="preserve"> district.</w:t>
      </w:r>
    </w:p>
    <w:p w14:paraId="538EF2A1" w14:textId="077D5AA2" w:rsidR="003B583A" w:rsidRDefault="003B583A" w:rsidP="00097200">
      <w:pPr>
        <w:jc w:val="both"/>
      </w:pPr>
      <w:r>
        <w:t>RC – Changes to a</w:t>
      </w:r>
      <w:r>
        <w:rPr>
          <w:rFonts w:cs="Calibri"/>
          <w:color w:val="141414"/>
        </w:rPr>
        <w:t>dministrative</w:t>
      </w:r>
      <w:r>
        <w:t xml:space="preserve"> structure are wider government change, not MoH, so FR not appropriate place for this. The FR is source for all facility information. </w:t>
      </w:r>
    </w:p>
    <w:p w14:paraId="5C6D9582" w14:textId="07B1F611" w:rsidR="003B583A" w:rsidRDefault="00326090" w:rsidP="00097200">
      <w:pPr>
        <w:jc w:val="both"/>
      </w:pPr>
      <w:r>
        <w:t>LP - Did consider adding administrative codes to the terminology service at some point.</w:t>
      </w:r>
    </w:p>
    <w:p w14:paraId="56578376" w14:textId="5D1CB08F" w:rsidR="00326090" w:rsidRDefault="00326090" w:rsidP="00097200">
      <w:pPr>
        <w:jc w:val="both"/>
      </w:pPr>
      <w:r>
        <w:t xml:space="preserve">MW – The village/districts hierarchy should be stored in the FR.  </w:t>
      </w:r>
    </w:p>
    <w:p w14:paraId="30AE5397" w14:textId="48CB62D3" w:rsidR="00326090" w:rsidRDefault="00326090" w:rsidP="00097200">
      <w:pPr>
        <w:jc w:val="both"/>
      </w:pPr>
      <w:r>
        <w:t xml:space="preserve">RG – </w:t>
      </w:r>
      <w:r w:rsidR="0092455E">
        <w:t xml:space="preserve">can collect actual catchment area data (which villages are contained in those catchment areas) and once have that data will be able to request official recognition for that. </w:t>
      </w:r>
    </w:p>
    <w:p w14:paraId="1F3B2543" w14:textId="7B43DDE3" w:rsidR="0092455E" w:rsidRDefault="0092455E" w:rsidP="00097200">
      <w:pPr>
        <w:jc w:val="both"/>
      </w:pPr>
      <w:r>
        <w:t xml:space="preserve">CL – asked for clarification about 2 data </w:t>
      </w:r>
      <w:proofErr w:type="gramStart"/>
      <w:r>
        <w:t>elements :</w:t>
      </w:r>
      <w:proofErr w:type="gramEnd"/>
      <w:r>
        <w:t xml:space="preserve">  CHW are categories of ASM and BINOME ?</w:t>
      </w:r>
    </w:p>
    <w:p w14:paraId="68C16152" w14:textId="77777777" w:rsidR="0092455E" w:rsidRDefault="0092455E" w:rsidP="00097200">
      <w:pPr>
        <w:jc w:val="both"/>
      </w:pPr>
      <w:r>
        <w:t xml:space="preserve">RG – These are the tasks that they carry out – </w:t>
      </w:r>
    </w:p>
    <w:p w14:paraId="47763C56" w14:textId="5DBF7109" w:rsidR="0092455E" w:rsidRDefault="0092455E" w:rsidP="0092455E">
      <w:pPr>
        <w:ind w:firstLine="720"/>
        <w:jc w:val="both"/>
      </w:pPr>
      <w:r>
        <w:t xml:space="preserve">ASM = maternal health care </w:t>
      </w:r>
    </w:p>
    <w:p w14:paraId="58E89D93" w14:textId="4B8EDF79" w:rsidR="0092455E" w:rsidRPr="00062B9B" w:rsidRDefault="0092455E" w:rsidP="0092455E">
      <w:pPr>
        <w:ind w:firstLine="720"/>
        <w:jc w:val="both"/>
      </w:pPr>
      <w:r>
        <w:t>BINOME – do general care including maternal health</w:t>
      </w:r>
    </w:p>
    <w:p w14:paraId="7277DC1E" w14:textId="77777777" w:rsidR="0092455E" w:rsidRDefault="0092455E" w:rsidP="00097200">
      <w:pPr>
        <w:jc w:val="both"/>
        <w:rPr>
          <w:b/>
          <w:i/>
        </w:rPr>
      </w:pPr>
    </w:p>
    <w:p w14:paraId="7252F3D6" w14:textId="73615C77" w:rsidR="00892A59" w:rsidRPr="007B159D" w:rsidRDefault="00892A59" w:rsidP="00097200">
      <w:pPr>
        <w:jc w:val="both"/>
        <w:rPr>
          <w:b/>
          <w:i/>
        </w:rPr>
      </w:pPr>
      <w:r w:rsidRPr="007B159D">
        <w:rPr>
          <w:b/>
          <w:i/>
        </w:rPr>
        <w:t>Any Other Business</w:t>
      </w:r>
    </w:p>
    <w:p w14:paraId="146055D7" w14:textId="6403D687" w:rsidR="0092455E" w:rsidRPr="0092455E" w:rsidRDefault="0092455E" w:rsidP="00097200">
      <w:pPr>
        <w:jc w:val="both"/>
      </w:pPr>
      <w:r w:rsidRPr="0092455E">
        <w:t xml:space="preserve">PB asked why tickets are not public on </w:t>
      </w:r>
      <w:r>
        <w:t xml:space="preserve">JIRA - </w:t>
      </w:r>
      <w:proofErr w:type="gramStart"/>
      <w:r w:rsidRPr="0092455E">
        <w:t>RHEA</w:t>
      </w:r>
      <w:r>
        <w:t>?</w:t>
      </w:r>
      <w:proofErr w:type="gramEnd"/>
      <w:r w:rsidRPr="0092455E">
        <w:t xml:space="preserve"> </w:t>
      </w:r>
    </w:p>
    <w:p w14:paraId="4B5FF767" w14:textId="3B5079A9" w:rsidR="0092455E" w:rsidRPr="0092455E" w:rsidRDefault="0092455E" w:rsidP="00097200">
      <w:pPr>
        <w:jc w:val="both"/>
      </w:pPr>
      <w:r w:rsidRPr="0092455E">
        <w:t xml:space="preserve">RC said because need to configure public vs. private projects in JIRA – Is </w:t>
      </w:r>
      <w:proofErr w:type="gramStart"/>
      <w:r w:rsidRPr="0092455E">
        <w:t>a configuration issue which are</w:t>
      </w:r>
      <w:proofErr w:type="gramEnd"/>
      <w:r w:rsidRPr="0092455E">
        <w:t xml:space="preserve"> looking into. </w:t>
      </w:r>
    </w:p>
    <w:p w14:paraId="26460DF2" w14:textId="3DCD876A" w:rsidR="0092455E" w:rsidRPr="0092455E" w:rsidRDefault="0092455E" w:rsidP="00097200">
      <w:pPr>
        <w:jc w:val="both"/>
      </w:pPr>
      <w:r w:rsidRPr="0092455E">
        <w:t>LB – All on call can make edits to the wiki pages now, so this will be easier than tr</w:t>
      </w:r>
      <w:r>
        <w:t>y</w:t>
      </w:r>
      <w:r w:rsidRPr="0092455E">
        <w:t xml:space="preserve">ing to follow an email trail. </w:t>
      </w:r>
      <w:r>
        <w:t xml:space="preserve"> Team will post minutes and recordings and discussion threads here, so asked everyone to use this now.</w:t>
      </w:r>
    </w:p>
    <w:p w14:paraId="7D876800" w14:textId="77777777" w:rsidR="0092455E" w:rsidRDefault="0092455E" w:rsidP="00097200">
      <w:pPr>
        <w:jc w:val="both"/>
        <w:rPr>
          <w:b/>
          <w:i/>
        </w:rPr>
      </w:pPr>
    </w:p>
    <w:p w14:paraId="10D0BA76" w14:textId="23CB5812" w:rsidR="0092455E" w:rsidRPr="00BD064E" w:rsidRDefault="0092455E" w:rsidP="00097200">
      <w:pPr>
        <w:jc w:val="both"/>
      </w:pPr>
      <w:r w:rsidRPr="00BD064E">
        <w:t xml:space="preserve">RhC also asked everyone </w:t>
      </w:r>
      <w:r w:rsidR="00BD064E" w:rsidRPr="00BD064E">
        <w:t>to fill in doodle poll re: Sept</w:t>
      </w:r>
      <w:r w:rsidRPr="00BD064E">
        <w:t>e</w:t>
      </w:r>
      <w:r w:rsidR="00BD064E" w:rsidRPr="00BD064E">
        <w:t>m</w:t>
      </w:r>
      <w:r w:rsidRPr="00BD064E">
        <w:t xml:space="preserve">ber </w:t>
      </w:r>
      <w:r w:rsidR="00BD064E">
        <w:t xml:space="preserve">Kigali </w:t>
      </w:r>
      <w:r w:rsidRPr="00BD064E">
        <w:t xml:space="preserve">meeting by </w:t>
      </w:r>
      <w:proofErr w:type="spellStart"/>
      <w:r w:rsidRPr="00BD064E">
        <w:t>eod</w:t>
      </w:r>
      <w:proofErr w:type="spellEnd"/>
      <w:r w:rsidRPr="00BD064E">
        <w:t xml:space="preserve"> tomorrow </w:t>
      </w:r>
    </w:p>
    <w:p w14:paraId="11D7C99A" w14:textId="77777777" w:rsidR="00BD064E" w:rsidRDefault="00BD064E" w:rsidP="00097200">
      <w:pPr>
        <w:jc w:val="both"/>
        <w:rPr>
          <w:rFonts w:eastAsia="Times New Roman"/>
          <w:b/>
          <w:i/>
        </w:rPr>
      </w:pPr>
    </w:p>
    <w:p w14:paraId="735F5279" w14:textId="3A6C1D5A" w:rsidR="008D1700" w:rsidRPr="00B9210A" w:rsidRDefault="00032A9E" w:rsidP="00097200">
      <w:pPr>
        <w:jc w:val="both"/>
        <w:rPr>
          <w:rFonts w:eastAsia="Times New Roman"/>
          <w:b/>
          <w:i/>
        </w:rPr>
      </w:pPr>
      <w:r w:rsidRPr="00B9210A">
        <w:rPr>
          <w:rFonts w:eastAsia="Times New Roman"/>
          <w:b/>
          <w:i/>
        </w:rPr>
        <w:t>Next Call</w:t>
      </w:r>
      <w:r w:rsidR="00B9210A">
        <w:rPr>
          <w:rFonts w:eastAsia="Times New Roman"/>
          <w:b/>
          <w:i/>
        </w:rPr>
        <w:t>:</w:t>
      </w:r>
    </w:p>
    <w:p w14:paraId="419C2368" w14:textId="05BA3F2B" w:rsidR="00032A9E" w:rsidRPr="00032A9E" w:rsidRDefault="00D173B7" w:rsidP="00097200">
      <w:pPr>
        <w:jc w:val="both"/>
        <w:rPr>
          <w:rFonts w:eastAsia="Times New Roman"/>
        </w:rPr>
      </w:pPr>
      <w:r>
        <w:rPr>
          <w:rFonts w:eastAsia="Times New Roman"/>
        </w:rPr>
        <w:t xml:space="preserve">Next call will be on Thursday </w:t>
      </w:r>
      <w:r w:rsidR="00214546">
        <w:rPr>
          <w:rFonts w:eastAsia="Times New Roman"/>
        </w:rPr>
        <w:t>21st</w:t>
      </w:r>
      <w:r w:rsidR="00FD1FDC" w:rsidRPr="00FD1FDC">
        <w:rPr>
          <w:rFonts w:eastAsia="Times New Roman"/>
          <w:vertAlign w:val="superscript"/>
        </w:rPr>
        <w:t>h</w:t>
      </w:r>
      <w:r w:rsidR="00FD1FDC">
        <w:rPr>
          <w:rFonts w:eastAsia="Times New Roman"/>
        </w:rPr>
        <w:t xml:space="preserve"> May</w:t>
      </w:r>
      <w:r w:rsidR="00032A9E" w:rsidRPr="00032A9E">
        <w:rPr>
          <w:rFonts w:eastAsia="Times New Roman"/>
        </w:rPr>
        <w:t xml:space="preserve"> at 2pm CAT (12pm GMT).</w:t>
      </w:r>
    </w:p>
    <w:p w14:paraId="0D84C34F" w14:textId="77777777" w:rsidR="00687105" w:rsidRPr="009771D3" w:rsidRDefault="00687105" w:rsidP="00097200">
      <w:pPr>
        <w:jc w:val="both"/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134"/>
      </w:tblGrid>
      <w:tr w:rsidR="00483549" w:rsidRPr="009771D3" w14:paraId="3ACCFC1B" w14:textId="77777777" w:rsidTr="00205208">
        <w:tc>
          <w:tcPr>
            <w:tcW w:w="7054" w:type="dxa"/>
          </w:tcPr>
          <w:p w14:paraId="7B42CC85" w14:textId="77777777" w:rsidR="00483549" w:rsidRPr="009771D3" w:rsidRDefault="00483549" w:rsidP="00097200">
            <w:pPr>
              <w:jc w:val="both"/>
              <w:rPr>
                <w:rFonts w:cstheme="minorHAnsi"/>
                <w:b/>
              </w:rPr>
            </w:pPr>
            <w:r w:rsidRPr="009771D3">
              <w:rPr>
                <w:rFonts w:cstheme="minorHAnsi"/>
                <w:b/>
              </w:rPr>
              <w:t xml:space="preserve">Action Items | THIS CALL  </w:t>
            </w:r>
          </w:p>
        </w:tc>
        <w:tc>
          <w:tcPr>
            <w:tcW w:w="1418" w:type="dxa"/>
          </w:tcPr>
          <w:p w14:paraId="4CAD07D2" w14:textId="77777777" w:rsidR="00483549" w:rsidRPr="009771D3" w:rsidRDefault="00483549" w:rsidP="00097200">
            <w:pPr>
              <w:jc w:val="both"/>
            </w:pPr>
            <w:r w:rsidRPr="009771D3">
              <w:t>Responsible</w:t>
            </w:r>
          </w:p>
        </w:tc>
        <w:tc>
          <w:tcPr>
            <w:tcW w:w="1134" w:type="dxa"/>
          </w:tcPr>
          <w:p w14:paraId="2511E6B9" w14:textId="77777777" w:rsidR="00483549" w:rsidRPr="009771D3" w:rsidRDefault="00483549" w:rsidP="00097200">
            <w:pPr>
              <w:jc w:val="both"/>
            </w:pPr>
            <w:r w:rsidRPr="009771D3">
              <w:t xml:space="preserve">Due Date </w:t>
            </w:r>
          </w:p>
        </w:tc>
      </w:tr>
      <w:tr w:rsidR="00483549" w:rsidRPr="009771D3" w14:paraId="2DD95CA8" w14:textId="77777777" w:rsidTr="00205208">
        <w:tc>
          <w:tcPr>
            <w:tcW w:w="7054" w:type="dxa"/>
          </w:tcPr>
          <w:p w14:paraId="64F07AC9" w14:textId="5C76D505" w:rsidR="00483549" w:rsidRPr="004C1688" w:rsidRDefault="004B30FA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Ask EJ re: possibility of running two versions of FR</w:t>
            </w:r>
            <w:r w:rsidR="00062B9B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</w:tcPr>
          <w:p w14:paraId="78A36F32" w14:textId="1E2DAC20" w:rsidR="00483549" w:rsidRPr="009771D3" w:rsidRDefault="004B30FA" w:rsidP="00097200">
            <w:pPr>
              <w:jc w:val="both"/>
            </w:pPr>
            <w:r>
              <w:t>RC</w:t>
            </w:r>
          </w:p>
        </w:tc>
        <w:tc>
          <w:tcPr>
            <w:tcW w:w="1134" w:type="dxa"/>
          </w:tcPr>
          <w:p w14:paraId="30EDCCDF" w14:textId="5516040D" w:rsidR="00483549" w:rsidRPr="009771D3" w:rsidRDefault="00483549" w:rsidP="00097200">
            <w:pPr>
              <w:jc w:val="both"/>
            </w:pPr>
          </w:p>
        </w:tc>
      </w:tr>
      <w:tr w:rsidR="00214546" w:rsidRPr="009771D3" w14:paraId="78A5921C" w14:textId="77777777" w:rsidTr="00205208">
        <w:tc>
          <w:tcPr>
            <w:tcW w:w="7054" w:type="dxa"/>
          </w:tcPr>
          <w:p w14:paraId="4EBA4296" w14:textId="4DABC629" w:rsidR="00214546" w:rsidRPr="004C1688" w:rsidRDefault="00062B9B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Agreement to secure hosting space in NDC</w:t>
            </w:r>
          </w:p>
        </w:tc>
        <w:tc>
          <w:tcPr>
            <w:tcW w:w="1418" w:type="dxa"/>
          </w:tcPr>
          <w:p w14:paraId="5A994BEF" w14:textId="51DDE95C" w:rsidR="00214546" w:rsidRPr="009771D3" w:rsidRDefault="00062B9B" w:rsidP="00097200">
            <w:pPr>
              <w:jc w:val="both"/>
            </w:pPr>
            <w:r>
              <w:t>RG</w:t>
            </w:r>
          </w:p>
        </w:tc>
        <w:tc>
          <w:tcPr>
            <w:tcW w:w="1134" w:type="dxa"/>
          </w:tcPr>
          <w:p w14:paraId="4602E8B0" w14:textId="0B786C44" w:rsidR="00214546" w:rsidRPr="009771D3" w:rsidRDefault="00062B9B" w:rsidP="00097200">
            <w:pPr>
              <w:jc w:val="both"/>
            </w:pPr>
            <w:r>
              <w:t>07/14</w:t>
            </w:r>
          </w:p>
        </w:tc>
      </w:tr>
      <w:tr w:rsidR="00214546" w:rsidRPr="009771D3" w14:paraId="3B24FF36" w14:textId="77777777" w:rsidTr="00205208">
        <w:tc>
          <w:tcPr>
            <w:tcW w:w="7054" w:type="dxa"/>
          </w:tcPr>
          <w:p w14:paraId="0C2A9A5A" w14:textId="40FC3F8C" w:rsidR="00214546" w:rsidRPr="004C1688" w:rsidRDefault="0092455E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Use the RHEA wiki for posting information and having discussions rather than email where possible </w:t>
            </w:r>
          </w:p>
        </w:tc>
        <w:tc>
          <w:tcPr>
            <w:tcW w:w="1418" w:type="dxa"/>
          </w:tcPr>
          <w:p w14:paraId="5970149C" w14:textId="009A780D" w:rsidR="00214546" w:rsidRPr="009771D3" w:rsidRDefault="0092455E" w:rsidP="00097200">
            <w:pPr>
              <w:jc w:val="both"/>
            </w:pPr>
            <w:r>
              <w:t>ALL</w:t>
            </w:r>
          </w:p>
        </w:tc>
        <w:tc>
          <w:tcPr>
            <w:tcW w:w="1134" w:type="dxa"/>
          </w:tcPr>
          <w:p w14:paraId="3BD37B11" w14:textId="77777777" w:rsidR="00214546" w:rsidRPr="009771D3" w:rsidRDefault="00214546" w:rsidP="00097200">
            <w:pPr>
              <w:jc w:val="both"/>
            </w:pPr>
          </w:p>
        </w:tc>
      </w:tr>
      <w:tr w:rsidR="00214546" w:rsidRPr="009771D3" w14:paraId="74EDAB37" w14:textId="77777777" w:rsidTr="00205208">
        <w:tc>
          <w:tcPr>
            <w:tcW w:w="7054" w:type="dxa"/>
          </w:tcPr>
          <w:p w14:paraId="72DD7561" w14:textId="77777777" w:rsidR="00214546" w:rsidRDefault="0092455E" w:rsidP="004C168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Fill in availability on Doodle poll </w:t>
            </w:r>
            <w:r w:rsidR="00002510">
              <w:rPr>
                <w:rFonts w:cstheme="minorHAnsi"/>
              </w:rPr>
              <w:t xml:space="preserve"> </w:t>
            </w:r>
          </w:p>
          <w:p w14:paraId="2001D09C" w14:textId="6CAB0A87" w:rsidR="00002510" w:rsidRPr="004C1688" w:rsidRDefault="00002510" w:rsidP="004C1688">
            <w:pPr>
              <w:jc w:val="both"/>
              <w:rPr>
                <w:rFonts w:cstheme="minorHAnsi"/>
              </w:rPr>
            </w:pPr>
            <w:r>
              <w:rPr>
                <w:rFonts w:eastAsia="Times New Roman"/>
              </w:rPr>
              <w:t>poll (</w:t>
            </w:r>
            <w:hyperlink r:id="rId8" w:history="1">
              <w:r>
                <w:rPr>
                  <w:rStyle w:val="Hyperlink"/>
                </w:rPr>
                <w:t>http://www.doodle.com/9vem36hrtvtz5w3i</w:t>
              </w:r>
            </w:hyperlink>
            <w:r>
              <w:rPr>
                <w:rFonts w:eastAsia="Times New Roman"/>
              </w:rPr>
              <w:t>)</w:t>
            </w:r>
            <w:bookmarkStart w:id="1" w:name="_GoBack"/>
            <w:bookmarkEnd w:id="1"/>
          </w:p>
        </w:tc>
        <w:tc>
          <w:tcPr>
            <w:tcW w:w="1418" w:type="dxa"/>
          </w:tcPr>
          <w:p w14:paraId="00ACB024" w14:textId="0913C577" w:rsidR="00214546" w:rsidRPr="009771D3" w:rsidRDefault="0092455E" w:rsidP="00097200">
            <w:pPr>
              <w:jc w:val="both"/>
            </w:pPr>
            <w:r>
              <w:t>ALL</w:t>
            </w:r>
          </w:p>
        </w:tc>
        <w:tc>
          <w:tcPr>
            <w:tcW w:w="1134" w:type="dxa"/>
          </w:tcPr>
          <w:p w14:paraId="7BEE02C8" w14:textId="278CCFEF" w:rsidR="00214546" w:rsidRPr="009771D3" w:rsidRDefault="0092455E" w:rsidP="00097200">
            <w:pPr>
              <w:jc w:val="both"/>
            </w:pPr>
            <w:proofErr w:type="spellStart"/>
            <w:r>
              <w:t>Eod</w:t>
            </w:r>
            <w:proofErr w:type="spellEnd"/>
            <w:r>
              <w:t xml:space="preserve"> 07/15</w:t>
            </w:r>
          </w:p>
        </w:tc>
      </w:tr>
      <w:tr w:rsidR="00214546" w:rsidRPr="009771D3" w14:paraId="6C3F0223" w14:textId="77777777" w:rsidTr="00205208">
        <w:tc>
          <w:tcPr>
            <w:tcW w:w="7054" w:type="dxa"/>
          </w:tcPr>
          <w:p w14:paraId="5CCE4C66" w14:textId="77777777" w:rsidR="00214546" w:rsidRPr="004C1688" w:rsidRDefault="00214546" w:rsidP="004C168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155C2CA" w14:textId="77777777" w:rsidR="00214546" w:rsidRPr="009771D3" w:rsidRDefault="00214546" w:rsidP="00097200">
            <w:pPr>
              <w:jc w:val="both"/>
            </w:pPr>
          </w:p>
        </w:tc>
        <w:tc>
          <w:tcPr>
            <w:tcW w:w="1134" w:type="dxa"/>
          </w:tcPr>
          <w:p w14:paraId="021EA224" w14:textId="77777777" w:rsidR="00214546" w:rsidRPr="009771D3" w:rsidRDefault="00214546" w:rsidP="00097200">
            <w:pPr>
              <w:jc w:val="both"/>
            </w:pPr>
          </w:p>
        </w:tc>
      </w:tr>
      <w:tr w:rsidR="00214546" w:rsidRPr="009771D3" w14:paraId="4B75D9B4" w14:textId="77777777" w:rsidTr="00205208">
        <w:tc>
          <w:tcPr>
            <w:tcW w:w="7054" w:type="dxa"/>
          </w:tcPr>
          <w:p w14:paraId="4841E85C" w14:textId="77777777" w:rsidR="00214546" w:rsidRPr="004C1688" w:rsidRDefault="00214546" w:rsidP="004C1688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237BF4B4" w14:textId="77777777" w:rsidR="00214546" w:rsidRPr="009771D3" w:rsidRDefault="00214546" w:rsidP="00097200">
            <w:pPr>
              <w:jc w:val="both"/>
            </w:pPr>
          </w:p>
        </w:tc>
        <w:tc>
          <w:tcPr>
            <w:tcW w:w="1134" w:type="dxa"/>
          </w:tcPr>
          <w:p w14:paraId="65676AB7" w14:textId="77777777" w:rsidR="00214546" w:rsidRPr="009771D3" w:rsidRDefault="00214546" w:rsidP="00097200">
            <w:pPr>
              <w:jc w:val="both"/>
            </w:pPr>
          </w:p>
        </w:tc>
      </w:tr>
    </w:tbl>
    <w:p w14:paraId="6CD896A8" w14:textId="77777777" w:rsidR="004C1688" w:rsidRPr="009771D3" w:rsidRDefault="004C1688" w:rsidP="00600B4E">
      <w:pPr>
        <w:jc w:val="both"/>
      </w:pPr>
    </w:p>
    <w:sectPr w:rsidR="004C1688" w:rsidRPr="009771D3" w:rsidSect="001F756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8E2A" w14:textId="77777777" w:rsidR="0047466E" w:rsidRDefault="0047466E">
      <w:pPr>
        <w:spacing w:after="0" w:line="240" w:lineRule="auto"/>
      </w:pPr>
      <w:r>
        <w:separator/>
      </w:r>
    </w:p>
  </w:endnote>
  <w:endnote w:type="continuationSeparator" w:id="0">
    <w:p w14:paraId="1AD86A08" w14:textId="77777777" w:rsidR="0047466E" w:rsidRDefault="004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FE162E" w:rsidRDefault="00FE162E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FE162E" w:rsidRDefault="00FE162E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510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27652C" w14:textId="77777777" w:rsidR="00FE162E" w:rsidRDefault="00FE162E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FE162E" w:rsidRDefault="00FE162E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FE162E" w:rsidRDefault="00FE162E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5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FE162E" w:rsidRDefault="00FE162E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92F0" w14:textId="77777777" w:rsidR="0047466E" w:rsidRDefault="0047466E">
      <w:pPr>
        <w:spacing w:after="0" w:line="240" w:lineRule="auto"/>
      </w:pPr>
      <w:r>
        <w:separator/>
      </w:r>
    </w:p>
  </w:footnote>
  <w:footnote w:type="continuationSeparator" w:id="0">
    <w:p w14:paraId="66F2353B" w14:textId="77777777" w:rsidR="0047466E" w:rsidRDefault="004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FE162E" w:rsidRDefault="00FE162E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FE162E" w:rsidRPr="00276C0A" w:rsidRDefault="00FE162E" w:rsidP="001F7561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73543" w14:textId="77777777" w:rsidR="00FE162E" w:rsidRDefault="00FE162E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44F32D45" w14:textId="77777777" w:rsidR="00FE162E" w:rsidRPr="00CA78DB" w:rsidRDefault="00FE162E" w:rsidP="001F75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D1"/>
    <w:multiLevelType w:val="hybridMultilevel"/>
    <w:tmpl w:val="573C34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4F2"/>
    <w:multiLevelType w:val="hybridMultilevel"/>
    <w:tmpl w:val="0156A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42E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06288"/>
    <w:multiLevelType w:val="hybridMultilevel"/>
    <w:tmpl w:val="E8524DE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FC6"/>
    <w:multiLevelType w:val="hybridMultilevel"/>
    <w:tmpl w:val="EBE40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37A05"/>
    <w:multiLevelType w:val="hybridMultilevel"/>
    <w:tmpl w:val="D73CA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206F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13E9B"/>
    <w:multiLevelType w:val="hybridMultilevel"/>
    <w:tmpl w:val="118438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B215C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0318C"/>
    <w:multiLevelType w:val="hybridMultilevel"/>
    <w:tmpl w:val="EA00A18A"/>
    <w:lvl w:ilvl="0" w:tplc="1C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27B21A1C"/>
    <w:multiLevelType w:val="multilevel"/>
    <w:tmpl w:val="AF665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957AB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F2F6E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A5560"/>
    <w:multiLevelType w:val="hybridMultilevel"/>
    <w:tmpl w:val="F28A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156EF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CFE"/>
    <w:multiLevelType w:val="hybridMultilevel"/>
    <w:tmpl w:val="BF4EBE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52A53"/>
    <w:multiLevelType w:val="hybridMultilevel"/>
    <w:tmpl w:val="B48277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8477D"/>
    <w:multiLevelType w:val="hybridMultilevel"/>
    <w:tmpl w:val="B972D26C"/>
    <w:lvl w:ilvl="0" w:tplc="AECA1052">
      <w:start w:val="1"/>
      <w:numFmt w:val="decimal"/>
      <w:lvlText w:val="%1."/>
      <w:lvlJc w:val="left"/>
      <w:pPr>
        <w:ind w:left="96" w:hanging="468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5D9E"/>
    <w:multiLevelType w:val="hybridMultilevel"/>
    <w:tmpl w:val="A312633A"/>
    <w:lvl w:ilvl="0" w:tplc="1458C030">
      <w:start w:val="1"/>
      <w:numFmt w:val="decimal"/>
      <w:lvlText w:val="%1."/>
      <w:lvlJc w:val="left"/>
      <w:pPr>
        <w:ind w:left="720" w:hanging="360"/>
      </w:pPr>
      <w:rPr>
        <w:rFonts w:eastAsiaTheme="majorHAnsi" w:hint="default"/>
        <w:color w:val="1A1A1A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D706B"/>
    <w:multiLevelType w:val="hybridMultilevel"/>
    <w:tmpl w:val="F58CBC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15330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470D2"/>
    <w:multiLevelType w:val="hybridMultilevel"/>
    <w:tmpl w:val="951251D4"/>
    <w:lvl w:ilvl="0" w:tplc="9A786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32559"/>
    <w:multiLevelType w:val="hybridMultilevel"/>
    <w:tmpl w:val="E85CC9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5BA8"/>
    <w:multiLevelType w:val="hybridMultilevel"/>
    <w:tmpl w:val="FDAAF0EC"/>
    <w:lvl w:ilvl="0" w:tplc="E954F1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F3D53"/>
    <w:multiLevelType w:val="hybridMultilevel"/>
    <w:tmpl w:val="B2EA3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B4854"/>
    <w:multiLevelType w:val="hybridMultilevel"/>
    <w:tmpl w:val="7F24FC46"/>
    <w:lvl w:ilvl="0" w:tplc="0576E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C1CA4"/>
    <w:multiLevelType w:val="hybridMultilevel"/>
    <w:tmpl w:val="71B24182"/>
    <w:lvl w:ilvl="0" w:tplc="EC2612FA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07DD1"/>
    <w:multiLevelType w:val="hybridMultilevel"/>
    <w:tmpl w:val="5CE41C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A51B8A"/>
    <w:multiLevelType w:val="hybridMultilevel"/>
    <w:tmpl w:val="6CF8E15E"/>
    <w:lvl w:ilvl="0" w:tplc="BEF2DC6C">
      <w:start w:val="1"/>
      <w:numFmt w:val="decimal"/>
      <w:lvlText w:val="%1."/>
      <w:lvlJc w:val="left"/>
      <w:pPr>
        <w:ind w:left="408" w:hanging="360"/>
      </w:pPr>
      <w:rPr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C3D11"/>
    <w:multiLevelType w:val="hybridMultilevel"/>
    <w:tmpl w:val="69428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B2E70"/>
    <w:multiLevelType w:val="multilevel"/>
    <w:tmpl w:val="B85A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B7991"/>
    <w:multiLevelType w:val="hybridMultilevel"/>
    <w:tmpl w:val="077C69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E4784"/>
    <w:multiLevelType w:val="hybridMultilevel"/>
    <w:tmpl w:val="5C64D266"/>
    <w:lvl w:ilvl="0" w:tplc="F7669A5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003FD4"/>
    <w:multiLevelType w:val="hybridMultilevel"/>
    <w:tmpl w:val="EB50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4"/>
  </w:num>
  <w:num w:numId="4">
    <w:abstractNumId w:val="24"/>
  </w:num>
  <w:num w:numId="5">
    <w:abstractNumId w:val="20"/>
  </w:num>
  <w:num w:numId="6">
    <w:abstractNumId w:val="2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0"/>
  </w:num>
  <w:num w:numId="16">
    <w:abstractNumId w:val="23"/>
  </w:num>
  <w:num w:numId="17">
    <w:abstractNumId w:val="2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4"/>
  </w:num>
  <w:num w:numId="21">
    <w:abstractNumId w:val="12"/>
  </w:num>
  <w:num w:numId="22">
    <w:abstractNumId w:val="9"/>
  </w:num>
  <w:num w:numId="23">
    <w:abstractNumId w:val="7"/>
  </w:num>
  <w:num w:numId="24">
    <w:abstractNumId w:val="21"/>
  </w:num>
  <w:num w:numId="25">
    <w:abstractNumId w:val="25"/>
  </w:num>
  <w:num w:numId="26">
    <w:abstractNumId w:val="1"/>
  </w:num>
  <w:num w:numId="27">
    <w:abstractNumId w:val="16"/>
  </w:num>
  <w:num w:numId="28">
    <w:abstractNumId w:val="3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1"/>
  </w:num>
  <w:num w:numId="35">
    <w:abstractNumId w:val="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32A9E"/>
    <w:rsid w:val="0003306C"/>
    <w:rsid w:val="00034E80"/>
    <w:rsid w:val="0004383F"/>
    <w:rsid w:val="00043854"/>
    <w:rsid w:val="00045F23"/>
    <w:rsid w:val="00053690"/>
    <w:rsid w:val="00053A15"/>
    <w:rsid w:val="00062B9B"/>
    <w:rsid w:val="00065A4F"/>
    <w:rsid w:val="000729F6"/>
    <w:rsid w:val="00074253"/>
    <w:rsid w:val="000941F5"/>
    <w:rsid w:val="00097200"/>
    <w:rsid w:val="000A2189"/>
    <w:rsid w:val="000A768A"/>
    <w:rsid w:val="000D2ABA"/>
    <w:rsid w:val="000F6247"/>
    <w:rsid w:val="00102A6F"/>
    <w:rsid w:val="00107E87"/>
    <w:rsid w:val="00121869"/>
    <w:rsid w:val="001403A6"/>
    <w:rsid w:val="00142688"/>
    <w:rsid w:val="001561F8"/>
    <w:rsid w:val="001A380C"/>
    <w:rsid w:val="001A4E93"/>
    <w:rsid w:val="001C704C"/>
    <w:rsid w:val="001E29F1"/>
    <w:rsid w:val="001E6BEA"/>
    <w:rsid w:val="001F7561"/>
    <w:rsid w:val="00205208"/>
    <w:rsid w:val="00212AC7"/>
    <w:rsid w:val="00214546"/>
    <w:rsid w:val="00225D9D"/>
    <w:rsid w:val="00232D53"/>
    <w:rsid w:val="00242F5F"/>
    <w:rsid w:val="00250EFA"/>
    <w:rsid w:val="00271D7F"/>
    <w:rsid w:val="00273391"/>
    <w:rsid w:val="002750F9"/>
    <w:rsid w:val="00277737"/>
    <w:rsid w:val="0028239F"/>
    <w:rsid w:val="00284ED7"/>
    <w:rsid w:val="002918C0"/>
    <w:rsid w:val="0029327B"/>
    <w:rsid w:val="002D21B0"/>
    <w:rsid w:val="0030550D"/>
    <w:rsid w:val="00316D51"/>
    <w:rsid w:val="0032186C"/>
    <w:rsid w:val="00322517"/>
    <w:rsid w:val="00324F41"/>
    <w:rsid w:val="00326090"/>
    <w:rsid w:val="0033293B"/>
    <w:rsid w:val="0033344C"/>
    <w:rsid w:val="0033689B"/>
    <w:rsid w:val="00350ECD"/>
    <w:rsid w:val="00364E0E"/>
    <w:rsid w:val="00376639"/>
    <w:rsid w:val="0037678B"/>
    <w:rsid w:val="00380BC8"/>
    <w:rsid w:val="00384258"/>
    <w:rsid w:val="00394177"/>
    <w:rsid w:val="00395E19"/>
    <w:rsid w:val="00397E71"/>
    <w:rsid w:val="003A25CF"/>
    <w:rsid w:val="003B1E18"/>
    <w:rsid w:val="003B583A"/>
    <w:rsid w:val="003C6DAB"/>
    <w:rsid w:val="003D073E"/>
    <w:rsid w:val="003E2F00"/>
    <w:rsid w:val="003E3DB5"/>
    <w:rsid w:val="0040050C"/>
    <w:rsid w:val="00403ECC"/>
    <w:rsid w:val="00405351"/>
    <w:rsid w:val="00410412"/>
    <w:rsid w:val="00415BD6"/>
    <w:rsid w:val="00417828"/>
    <w:rsid w:val="004257DA"/>
    <w:rsid w:val="00433D5E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83549"/>
    <w:rsid w:val="00483BA7"/>
    <w:rsid w:val="00491203"/>
    <w:rsid w:val="004A38B7"/>
    <w:rsid w:val="004A4E5E"/>
    <w:rsid w:val="004A7976"/>
    <w:rsid w:val="004B30FA"/>
    <w:rsid w:val="004C1688"/>
    <w:rsid w:val="004C56EB"/>
    <w:rsid w:val="004D0A52"/>
    <w:rsid w:val="004F5667"/>
    <w:rsid w:val="00500CCD"/>
    <w:rsid w:val="00512FDF"/>
    <w:rsid w:val="00521E18"/>
    <w:rsid w:val="00530BD8"/>
    <w:rsid w:val="005336F0"/>
    <w:rsid w:val="00534C6F"/>
    <w:rsid w:val="005639C5"/>
    <w:rsid w:val="0059758E"/>
    <w:rsid w:val="005B0FD0"/>
    <w:rsid w:val="005B4969"/>
    <w:rsid w:val="005D0BC9"/>
    <w:rsid w:val="005D538C"/>
    <w:rsid w:val="005D60EF"/>
    <w:rsid w:val="005E75AE"/>
    <w:rsid w:val="00600B4E"/>
    <w:rsid w:val="00605110"/>
    <w:rsid w:val="00637FF0"/>
    <w:rsid w:val="00665CB5"/>
    <w:rsid w:val="00670B7A"/>
    <w:rsid w:val="00682B65"/>
    <w:rsid w:val="00687105"/>
    <w:rsid w:val="0069176A"/>
    <w:rsid w:val="00693A6B"/>
    <w:rsid w:val="00697071"/>
    <w:rsid w:val="006B4A3F"/>
    <w:rsid w:val="006B68D4"/>
    <w:rsid w:val="006C0C7E"/>
    <w:rsid w:val="006C5AE9"/>
    <w:rsid w:val="006E046D"/>
    <w:rsid w:val="006E6399"/>
    <w:rsid w:val="006F0129"/>
    <w:rsid w:val="006F2B6F"/>
    <w:rsid w:val="006F7619"/>
    <w:rsid w:val="0070320B"/>
    <w:rsid w:val="00703439"/>
    <w:rsid w:val="00706B9B"/>
    <w:rsid w:val="00712116"/>
    <w:rsid w:val="00714733"/>
    <w:rsid w:val="00733D76"/>
    <w:rsid w:val="0073749F"/>
    <w:rsid w:val="007401FE"/>
    <w:rsid w:val="00740D23"/>
    <w:rsid w:val="00742C5A"/>
    <w:rsid w:val="00744A00"/>
    <w:rsid w:val="00746653"/>
    <w:rsid w:val="0075141A"/>
    <w:rsid w:val="00762812"/>
    <w:rsid w:val="00764DDC"/>
    <w:rsid w:val="00767F5D"/>
    <w:rsid w:val="00774BBB"/>
    <w:rsid w:val="00777538"/>
    <w:rsid w:val="007800C3"/>
    <w:rsid w:val="0078132A"/>
    <w:rsid w:val="007877B2"/>
    <w:rsid w:val="007916CC"/>
    <w:rsid w:val="00795356"/>
    <w:rsid w:val="00796EDF"/>
    <w:rsid w:val="007A1F83"/>
    <w:rsid w:val="007B159D"/>
    <w:rsid w:val="007B3A61"/>
    <w:rsid w:val="007C74D4"/>
    <w:rsid w:val="007D1513"/>
    <w:rsid w:val="007D437C"/>
    <w:rsid w:val="007E168F"/>
    <w:rsid w:val="007E4EA4"/>
    <w:rsid w:val="007F2EE9"/>
    <w:rsid w:val="008159C5"/>
    <w:rsid w:val="0083302F"/>
    <w:rsid w:val="00844626"/>
    <w:rsid w:val="0084755B"/>
    <w:rsid w:val="0087188C"/>
    <w:rsid w:val="008754A2"/>
    <w:rsid w:val="008807E4"/>
    <w:rsid w:val="00881032"/>
    <w:rsid w:val="00892A59"/>
    <w:rsid w:val="008D1700"/>
    <w:rsid w:val="008D2C25"/>
    <w:rsid w:val="008D2E00"/>
    <w:rsid w:val="008E7382"/>
    <w:rsid w:val="008F60F7"/>
    <w:rsid w:val="009048C8"/>
    <w:rsid w:val="0092031F"/>
    <w:rsid w:val="0092455E"/>
    <w:rsid w:val="009320E5"/>
    <w:rsid w:val="00933EF7"/>
    <w:rsid w:val="00945A44"/>
    <w:rsid w:val="00972C39"/>
    <w:rsid w:val="009771D3"/>
    <w:rsid w:val="0098212E"/>
    <w:rsid w:val="00982CE6"/>
    <w:rsid w:val="00983837"/>
    <w:rsid w:val="00983D6F"/>
    <w:rsid w:val="00986148"/>
    <w:rsid w:val="009947BC"/>
    <w:rsid w:val="0099598A"/>
    <w:rsid w:val="009A05FC"/>
    <w:rsid w:val="009A7CFE"/>
    <w:rsid w:val="009C0792"/>
    <w:rsid w:val="009E205E"/>
    <w:rsid w:val="009E569D"/>
    <w:rsid w:val="009F0253"/>
    <w:rsid w:val="009F270C"/>
    <w:rsid w:val="009F7293"/>
    <w:rsid w:val="00A02962"/>
    <w:rsid w:val="00A02B83"/>
    <w:rsid w:val="00A069D4"/>
    <w:rsid w:val="00A125CB"/>
    <w:rsid w:val="00A227C0"/>
    <w:rsid w:val="00A301AD"/>
    <w:rsid w:val="00A34004"/>
    <w:rsid w:val="00A35B63"/>
    <w:rsid w:val="00A371A3"/>
    <w:rsid w:val="00A40376"/>
    <w:rsid w:val="00A47BEE"/>
    <w:rsid w:val="00A548D1"/>
    <w:rsid w:val="00A60D03"/>
    <w:rsid w:val="00A647ED"/>
    <w:rsid w:val="00A732EF"/>
    <w:rsid w:val="00A77190"/>
    <w:rsid w:val="00AA4C57"/>
    <w:rsid w:val="00AB1E7D"/>
    <w:rsid w:val="00AB6022"/>
    <w:rsid w:val="00AC5E03"/>
    <w:rsid w:val="00AC6837"/>
    <w:rsid w:val="00AC7877"/>
    <w:rsid w:val="00AC7E8B"/>
    <w:rsid w:val="00AE4980"/>
    <w:rsid w:val="00AF6E14"/>
    <w:rsid w:val="00B031A5"/>
    <w:rsid w:val="00B1180C"/>
    <w:rsid w:val="00B13E7F"/>
    <w:rsid w:val="00B14342"/>
    <w:rsid w:val="00B16DE3"/>
    <w:rsid w:val="00B16E1F"/>
    <w:rsid w:val="00B24677"/>
    <w:rsid w:val="00B2562A"/>
    <w:rsid w:val="00B3398E"/>
    <w:rsid w:val="00B372EC"/>
    <w:rsid w:val="00B41C08"/>
    <w:rsid w:val="00B45889"/>
    <w:rsid w:val="00B66A7A"/>
    <w:rsid w:val="00B7131F"/>
    <w:rsid w:val="00B76D95"/>
    <w:rsid w:val="00B9210A"/>
    <w:rsid w:val="00BA4B81"/>
    <w:rsid w:val="00BD064E"/>
    <w:rsid w:val="00BD55C3"/>
    <w:rsid w:val="00C07703"/>
    <w:rsid w:val="00C1774A"/>
    <w:rsid w:val="00C22759"/>
    <w:rsid w:val="00C330BC"/>
    <w:rsid w:val="00C34141"/>
    <w:rsid w:val="00C42F3A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D46B6"/>
    <w:rsid w:val="00CE1005"/>
    <w:rsid w:val="00CE1026"/>
    <w:rsid w:val="00CE17AC"/>
    <w:rsid w:val="00CE4864"/>
    <w:rsid w:val="00D00992"/>
    <w:rsid w:val="00D0197D"/>
    <w:rsid w:val="00D14495"/>
    <w:rsid w:val="00D173B7"/>
    <w:rsid w:val="00D224AB"/>
    <w:rsid w:val="00D26D9B"/>
    <w:rsid w:val="00D31CAE"/>
    <w:rsid w:val="00D3429F"/>
    <w:rsid w:val="00D51A69"/>
    <w:rsid w:val="00D56D09"/>
    <w:rsid w:val="00D62432"/>
    <w:rsid w:val="00D6259C"/>
    <w:rsid w:val="00D63434"/>
    <w:rsid w:val="00D725E8"/>
    <w:rsid w:val="00D76C92"/>
    <w:rsid w:val="00D80610"/>
    <w:rsid w:val="00D835A1"/>
    <w:rsid w:val="00D85BC0"/>
    <w:rsid w:val="00D93028"/>
    <w:rsid w:val="00D96987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F24AD"/>
    <w:rsid w:val="00DF2EF6"/>
    <w:rsid w:val="00DF76B9"/>
    <w:rsid w:val="00E00435"/>
    <w:rsid w:val="00E02F13"/>
    <w:rsid w:val="00E07ECC"/>
    <w:rsid w:val="00E10ED8"/>
    <w:rsid w:val="00E1235F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7A5"/>
    <w:rsid w:val="00E9575B"/>
    <w:rsid w:val="00EA748F"/>
    <w:rsid w:val="00EB68BD"/>
    <w:rsid w:val="00ED3105"/>
    <w:rsid w:val="00ED3A72"/>
    <w:rsid w:val="00EE5093"/>
    <w:rsid w:val="00EE5F44"/>
    <w:rsid w:val="00F003EF"/>
    <w:rsid w:val="00F02551"/>
    <w:rsid w:val="00F17897"/>
    <w:rsid w:val="00F26766"/>
    <w:rsid w:val="00F27FE5"/>
    <w:rsid w:val="00F52D33"/>
    <w:rsid w:val="00F67AE7"/>
    <w:rsid w:val="00F70B27"/>
    <w:rsid w:val="00F90CDB"/>
    <w:rsid w:val="00F96408"/>
    <w:rsid w:val="00FA5491"/>
    <w:rsid w:val="00FB79C8"/>
    <w:rsid w:val="00FC282C"/>
    <w:rsid w:val="00FC4EAE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dle.com/9vem36hrtvtz5w3i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2012-02-15T13:20:00Z</cp:lastPrinted>
  <dcterms:created xsi:type="dcterms:W3CDTF">2012-06-14T13:20:00Z</dcterms:created>
  <dcterms:modified xsi:type="dcterms:W3CDTF">2012-06-14T13:20:00Z</dcterms:modified>
</cp:coreProperties>
</file>