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5" w:rsidRDefault="00B75925" w:rsidP="00B75925">
      <w:pPr>
        <w:rPr>
          <w:b/>
          <w:i/>
        </w:rPr>
      </w:pPr>
    </w:p>
    <w:p w:rsidR="00B75925" w:rsidRDefault="00B75925" w:rsidP="00B75925">
      <w:pPr>
        <w:rPr>
          <w:b/>
          <w:i/>
        </w:rPr>
      </w:pPr>
      <w:r>
        <w:rPr>
          <w:b/>
          <w:i/>
        </w:rPr>
        <w:t>September 25</w:t>
      </w:r>
      <w:r w:rsidRPr="00B75925">
        <w:rPr>
          <w:b/>
          <w:i/>
          <w:vertAlign w:val="superscript"/>
        </w:rPr>
        <w:t>th</w:t>
      </w:r>
      <w:r>
        <w:rPr>
          <w:b/>
          <w:i/>
        </w:rPr>
        <w:t xml:space="preserve"> 2012</w:t>
      </w:r>
      <w:bookmarkStart w:id="0" w:name="_GoBack"/>
      <w:bookmarkEnd w:id="0"/>
    </w:p>
    <w:p w:rsidR="00B75925" w:rsidRDefault="00B75925" w:rsidP="00B75925">
      <w:pPr>
        <w:rPr>
          <w:b/>
          <w:i/>
        </w:rPr>
      </w:pPr>
      <w:r>
        <w:rPr>
          <w:b/>
          <w:i/>
        </w:rPr>
        <w:t>TRANSACTION DISCUSSION AROUND HIE INTEGRATION – DHIS, FR, PR</w:t>
      </w:r>
    </w:p>
    <w:p w:rsidR="00B75925" w:rsidRDefault="00B75925" w:rsidP="00B75925">
      <w:r>
        <w:t xml:space="preserve">PROBLEM: many applications contain facility registry data that are currently maintained within them </w:t>
      </w:r>
    </w:p>
    <w:p w:rsidR="00B75925" w:rsidRDefault="00B75925" w:rsidP="00B75925">
      <w:r>
        <w:t xml:space="preserve">Facility information is used in – DHIS and IHRIS (HR) and TRACNET (HIV) and PROVIDER REGISTRY and DHSST </w:t>
      </w:r>
    </w:p>
    <w:p w:rsidR="00B75925" w:rsidRDefault="00B75925" w:rsidP="00B75925">
      <w:r>
        <w:t>Provider and Facility information is used in –TRACNET (hive)</w:t>
      </w:r>
    </w:p>
    <w:p w:rsidR="00B75925" w:rsidRDefault="00B75925" w:rsidP="00B75925">
      <w:r>
        <w:t xml:space="preserve">Agreed to keep IHRIS as the management/source system for provider information that then feeds into the PR registry </w:t>
      </w:r>
    </w:p>
    <w:p w:rsidR="00B75925" w:rsidRDefault="00B75925" w:rsidP="00B75925">
      <w:r>
        <w:t xml:space="preserve">Dictionaries – should they be in the terminology service? Should the terminology service be medical codes only rather than administrative codes? </w:t>
      </w:r>
    </w:p>
    <w:p w:rsidR="00B75925" w:rsidRDefault="00B75925" w:rsidP="00B75925">
      <w:r>
        <w:t xml:space="preserve">Need to know the list of services e.g.: PMTCT and procedure codes </w:t>
      </w:r>
    </w:p>
    <w:p w:rsidR="00B75925" w:rsidRDefault="00B75925" w:rsidP="00B75925">
      <w:r>
        <w:t>Are we establishing relationships or replicating? List of procedure etc. should be available locally in the client systems i.e. replications of lists</w:t>
      </w:r>
    </w:p>
    <w:p w:rsidR="00B75925" w:rsidRDefault="00B75925" w:rsidP="00B75925">
      <w:r>
        <w:t>Identified needs for</w:t>
      </w:r>
    </w:p>
    <w:p w:rsidR="00B75925" w:rsidRDefault="00B75925" w:rsidP="00B75925">
      <w:pPr>
        <w:numPr>
          <w:ilvl w:val="0"/>
          <w:numId w:val="1"/>
        </w:numPr>
      </w:pPr>
      <w:r>
        <w:t xml:space="preserve">an agency list/registry i.e. of donors, imp partners, etc. – could be a code set in terminology </w:t>
      </w:r>
    </w:p>
    <w:p w:rsidR="00B75925" w:rsidRDefault="00B75925" w:rsidP="00B75925">
      <w:pPr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resource list/registry?</w:t>
      </w:r>
    </w:p>
    <w:p w:rsidR="00B75925" w:rsidRDefault="00B75925" w:rsidP="00B75925">
      <w:r>
        <w:t xml:space="preserve">Registries should be the common data set and Semi-permanent data only should be on the registry </w:t>
      </w:r>
    </w:p>
    <w:p w:rsidR="00B75925" w:rsidRDefault="00B75925" w:rsidP="00B75925">
      <w:r>
        <w:t xml:space="preserve">Want to prove that in addition to the HIE we can modify DHIS and IHIRS so they are able to consume data from this HIE </w:t>
      </w:r>
    </w:p>
    <w:p w:rsidR="00B75925" w:rsidRDefault="00B75925" w:rsidP="00B75925">
      <w:r>
        <w:t xml:space="preserve">FR is a service-oriented architecture with underlying principle that it does not make changes to data it does not own </w:t>
      </w:r>
    </w:p>
    <w:p w:rsidR="00B75925" w:rsidRDefault="00B75925" w:rsidP="00B75925">
      <w:r>
        <w:t xml:space="preserve">Use Case example:  a paper form with new facility – entered into FR – triggers event in other registries via HIM </w:t>
      </w:r>
    </w:p>
    <w:p w:rsidR="00B75925" w:rsidRDefault="00B75925" w:rsidP="00B75925">
      <w:r>
        <w:t xml:space="preserve">Do we want client systems to always go thru the HIM only to access the FR?  Should we require a pass-thru for data queries as </w:t>
      </w:r>
      <w:proofErr w:type="gramStart"/>
      <w:r>
        <w:t>well ?</w:t>
      </w:r>
      <w:proofErr w:type="gramEnd"/>
      <w:r>
        <w:t xml:space="preserve"> Should all web services go through the HIM? What about the web UI?</w:t>
      </w:r>
    </w:p>
    <w:p w:rsidR="00B75925" w:rsidRDefault="00B75925" w:rsidP="00B75925">
      <w:r>
        <w:t xml:space="preserve">Simplest flow is: The orchestration service can poll (or trigger) the FR at intervals then push into HIM and then into DHIS </w:t>
      </w:r>
    </w:p>
    <w:p w:rsidR="00B75925" w:rsidRDefault="00B75925" w:rsidP="00B75925">
      <w:r>
        <w:lastRenderedPageBreak/>
        <w:t>Facility events are: – create / close / change level</w:t>
      </w:r>
    </w:p>
    <w:p w:rsidR="00B75925" w:rsidRDefault="00B75925" w:rsidP="00B75925">
      <w:r>
        <w:t xml:space="preserve">Should we de-couple the resource mapper from the Facility Registry? Even if only in a logical sense </w:t>
      </w:r>
    </w:p>
    <w:p w:rsidR="00B75925" w:rsidRDefault="00B75925" w:rsidP="00B75925">
      <w:r>
        <w:t xml:space="preserve">Rule should be that EVERY transaction should go thru HIM and if it is a query only, then just do a pass-thru the HIM  and MUST have the authentication within the HIM even if just a stub for now </w:t>
      </w:r>
    </w:p>
    <w:p w:rsidR="00B75925" w:rsidRDefault="00B75925" w:rsidP="00B75925">
      <w:r>
        <w:t xml:space="preserve">Also cannot assume that all applications will always have access to a HIM so cannot amend these to fit </w:t>
      </w:r>
      <w:proofErr w:type="gramStart"/>
      <w:r>
        <w:t>this  architectures</w:t>
      </w:r>
      <w:proofErr w:type="gramEnd"/>
      <w:r>
        <w:t xml:space="preserve"> </w:t>
      </w:r>
    </w:p>
    <w:p w:rsidR="00B75925" w:rsidRDefault="00B75925" w:rsidP="00B75925">
      <w:r>
        <w:t xml:space="preserve">RC needs to know: </w:t>
      </w:r>
    </w:p>
    <w:p w:rsidR="00B75925" w:rsidRDefault="00B75925" w:rsidP="00B75925">
      <w:r>
        <w:t>What data do they need , what  events do they need to know, what web service end pins can be used to get data out, push vs. pull endpoint?</w:t>
      </w:r>
    </w:p>
    <w:p w:rsidR="00B75925" w:rsidRDefault="00B75925" w:rsidP="00B75925">
      <w:r>
        <w:t>Use both Push and Pull</w:t>
      </w:r>
    </w:p>
    <w:p w:rsidR="00B75925" w:rsidRDefault="00B75925" w:rsidP="00B75925">
      <w:r>
        <w:t>RC - There is already a PULL that allows:</w:t>
      </w:r>
    </w:p>
    <w:p w:rsidR="00B75925" w:rsidRDefault="00B75925" w:rsidP="00B75925">
      <w:pPr>
        <w:numPr>
          <w:ilvl w:val="0"/>
          <w:numId w:val="2"/>
        </w:numPr>
      </w:pPr>
      <w:r>
        <w:t>Search facility using various parameters e.g. date</w:t>
      </w:r>
    </w:p>
    <w:p w:rsidR="00B75925" w:rsidRDefault="00B75925" w:rsidP="00B75925">
      <w:pPr>
        <w:numPr>
          <w:ilvl w:val="0"/>
          <w:numId w:val="2"/>
        </w:numPr>
      </w:pPr>
      <w:r>
        <w:t xml:space="preserve">Search for facility using ID </w:t>
      </w:r>
    </w:p>
    <w:p w:rsidR="00B75925" w:rsidRDefault="00B75925" w:rsidP="00B75925">
      <w:r>
        <w:t xml:space="preserve">LD – can use the search by date functionality for now for the PR </w:t>
      </w:r>
    </w:p>
    <w:p w:rsidR="00B75925" w:rsidRDefault="00B75925" w:rsidP="00B75925">
      <w:r>
        <w:t>DHIS – 2 problems need addressing: needs a facility name that is unique – uses the reporting    - the need for diff instances of DHIS to be able to sync with UAIDs. DHIS is not confident that reporting hierarchies can be maintained outside the DHIS – have same people maintain it in separate places</w:t>
      </w:r>
    </w:p>
    <w:p w:rsidR="00B75925" w:rsidRDefault="00B75925" w:rsidP="00B75925">
      <w:r>
        <w:t xml:space="preserve">If admin hierarchy changes how do u do that? Ideal would be to have this within the terminology service or another registry – more appropriate architecturally  - Currently treat it as reference data – not polling for it, </w:t>
      </w:r>
    </w:p>
    <w:p w:rsidR="00B75925" w:rsidRDefault="00B75925" w:rsidP="00B75925">
      <w:r>
        <w:t xml:space="preserve">AGREED: </w:t>
      </w:r>
    </w:p>
    <w:p w:rsidR="00B75925" w:rsidRDefault="00B75925" w:rsidP="00B75925">
      <w:pPr>
        <w:numPr>
          <w:ilvl w:val="0"/>
          <w:numId w:val="3"/>
        </w:numPr>
      </w:pPr>
      <w:r>
        <w:t xml:space="preserve">Registries should ALWAYS communicate amongst themselves, as well as with other applications thru the HIM  </w:t>
      </w:r>
    </w:p>
    <w:p w:rsidR="00B75925" w:rsidRDefault="00B75925" w:rsidP="00B75925">
      <w:pPr>
        <w:numPr>
          <w:ilvl w:val="0"/>
          <w:numId w:val="3"/>
        </w:numPr>
      </w:pPr>
      <w:r>
        <w:t xml:space="preserve">Every transaction must go through the HIM </w:t>
      </w:r>
    </w:p>
    <w:p w:rsidR="00B75925" w:rsidRDefault="00B75925" w:rsidP="00B75925"/>
    <w:p w:rsidR="00B75925" w:rsidRDefault="00B75925" w:rsidP="00B75925"/>
    <w:p w:rsidR="00B75925" w:rsidRDefault="00B75925" w:rsidP="00B75925"/>
    <w:p w:rsidR="00A343BE" w:rsidRDefault="00A343BE"/>
    <w:sectPr w:rsidR="00A343BE" w:rsidSect="00897B92">
      <w:headerReference w:type="default" r:id="rId6"/>
      <w:footerReference w:type="default" r:id="rId7"/>
      <w:headerReference w:type="first" r:id="rId8"/>
      <w:footerReference w:type="first" r:id="rId9"/>
      <w:pgSz w:w="12523" w:h="17722"/>
      <w:pgMar w:top="1440" w:right="1440" w:bottom="1440" w:left="144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ian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75925" w:rsidP="00897B92">
    <w:pPr>
      <w:pStyle w:val="Footer"/>
      <w:jc w:val="center"/>
    </w:pPr>
    <w:r>
      <w:rPr>
        <w:noProof/>
      </w:rPr>
      <w:drawing>
        <wp:inline distT="0" distB="0" distL="0" distR="0">
          <wp:extent cx="1979295" cy="289560"/>
          <wp:effectExtent l="0" t="0" r="1905" b="0"/>
          <wp:docPr id="3" name="Picture 3" descr="jembi_followonpage_full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mbi_followonpage_full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371" w:rsidRDefault="00B75925" w:rsidP="00897B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75925"/>
  <w:tbl>
    <w:tblPr>
      <w:tblW w:w="11341" w:type="dxa"/>
      <w:tblInd w:w="-176" w:type="dxa"/>
      <w:tblLook w:val="04A0" w:firstRow="1" w:lastRow="0" w:firstColumn="1" w:lastColumn="0" w:noHBand="0" w:noVBand="1"/>
    </w:tblPr>
    <w:tblGrid>
      <w:gridCol w:w="7372"/>
      <w:gridCol w:w="3969"/>
    </w:tblGrid>
    <w:tr w:rsidR="00501371">
      <w:tc>
        <w:tcPr>
          <w:tcW w:w="7372" w:type="dxa"/>
        </w:tcPr>
        <w:p w:rsidR="00501371" w:rsidRPr="00CC56D9" w:rsidRDefault="00B75925" w:rsidP="00897B92">
          <w:pPr>
            <w:pStyle w:val="BasicParagraph"/>
            <w:suppressAutoHyphens/>
            <w:jc w:val="both"/>
            <w:rPr>
              <w:rFonts w:ascii="Century Gothic" w:hAnsi="Century Gothic" w:cs="AvianRegular"/>
              <w:sz w:val="17"/>
              <w:szCs w:val="16"/>
            </w:rPr>
          </w:pPr>
          <w:r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Physical Address</w:t>
          </w:r>
          <w:r w:rsidRPr="00CC56D9">
            <w:rPr>
              <w:rFonts w:ascii="Century Gothic" w:hAnsi="Century Gothic" w:cs="AvianRegular"/>
              <w:sz w:val="17"/>
              <w:szCs w:val="16"/>
            </w:rPr>
            <w:t xml:space="preserve"> Unit D11, Westlake Square, Bell Crescent, Westlake, Cape Town</w:t>
          </w:r>
        </w:p>
        <w:p w:rsidR="00501371" w:rsidRPr="00CC56D9" w:rsidRDefault="00B75925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 xml:space="preserve">Postal 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Postnet</w:t>
          </w:r>
          <w:proofErr w:type="spellEnd"/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Suite 280, Private Bag X26, T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okai 7966,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South Africa</w:t>
          </w:r>
        </w:p>
        <w:p w:rsidR="00501371" w:rsidRPr="00CC56D9" w:rsidRDefault="00B75925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Tel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+27 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(0)21 701 0939   </w:t>
          </w: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Fax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+27 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(0)21 701 1979</w:t>
          </w:r>
        </w:p>
        <w:p w:rsidR="00501371" w:rsidRDefault="00B75925" w:rsidP="00897B9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CenturyGothic"/>
              <w:color w:val="0D0D0D"/>
              <w:sz w:val="17"/>
              <w:szCs w:val="16"/>
            </w:rPr>
          </w:pP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E-mail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 </w:t>
          </w:r>
          <w:hyperlink r:id="rId1" w:history="1">
            <w:r w:rsidRPr="000546D9">
              <w:rPr>
                <w:rStyle w:val="Hyperlink"/>
                <w:rFonts w:ascii="Century Gothic" w:hAnsi="Century Gothic" w:cs="CenturyGothic"/>
                <w:sz w:val="17"/>
              </w:rPr>
              <w:t>info@jembi.org</w:t>
            </w:r>
          </w:hyperlink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 xml:space="preserve">   </w:t>
          </w:r>
          <w:r w:rsidRPr="00CC56D9">
            <w:rPr>
              <w:rFonts w:ascii="Century Gothic" w:hAnsi="Century Gothic" w:cs="CenturyGothic-Bold"/>
              <w:b/>
              <w:bCs/>
              <w:color w:val="008000"/>
              <w:sz w:val="17"/>
              <w:szCs w:val="16"/>
            </w:rPr>
            <w:t>Website</w:t>
          </w:r>
          <w:r w:rsidRPr="00CC56D9">
            <w:rPr>
              <w:rFonts w:ascii="Century Gothic" w:hAnsi="Century Gothic" w:cs="CenturyGothic-Bold"/>
              <w:b/>
              <w:bCs/>
              <w:color w:val="0D0D0D"/>
              <w:sz w:val="17"/>
              <w:szCs w:val="16"/>
            </w:rPr>
            <w:t xml:space="preserve"> </w:t>
          </w:r>
          <w:r w:rsidRPr="00CC56D9">
            <w:rPr>
              <w:rFonts w:ascii="Century Gothic" w:hAnsi="Century Gothic" w:cs="CenturyGothic"/>
              <w:color w:val="0D0D0D"/>
              <w:sz w:val="17"/>
              <w:szCs w:val="16"/>
            </w:rPr>
            <w:t>www.jembi.</w:t>
          </w:r>
          <w:r>
            <w:rPr>
              <w:rFonts w:ascii="Century Gothic" w:hAnsi="Century Gothic" w:cs="CenturyGothic"/>
              <w:color w:val="0D0D0D"/>
              <w:sz w:val="17"/>
              <w:szCs w:val="16"/>
            </w:rPr>
            <w:t>org</w:t>
          </w:r>
        </w:p>
        <w:p w:rsidR="00501371" w:rsidRDefault="00B75925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b/>
              <w:color w:val="595959"/>
              <w:sz w:val="14"/>
            </w:rPr>
          </w:pPr>
        </w:p>
        <w:p w:rsidR="00501371" w:rsidRDefault="00B75925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>
            <w:rPr>
              <w:rFonts w:ascii="Century Gothic" w:hAnsi="Century Gothic" w:cs="Helvetica"/>
              <w:color w:val="595959"/>
              <w:sz w:val="14"/>
            </w:rPr>
            <w:t xml:space="preserve">Jembi Health Systems NPC  </w:t>
          </w:r>
        </w:p>
        <w:p w:rsidR="00501371" w:rsidRDefault="00B75925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CC56D9">
            <w:rPr>
              <w:rFonts w:ascii="Century Gothic" w:hAnsi="Century Gothic" w:cs="Helvetica"/>
              <w:color w:val="595959"/>
              <w:sz w:val="14"/>
            </w:rPr>
            <w:t>(</w:t>
          </w:r>
          <w:proofErr w:type="spellStart"/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Reg</w:t>
          </w:r>
          <w:proofErr w:type="spellEnd"/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#</w:t>
          </w:r>
          <w:r w:rsidRPr="00BF1C5F">
            <w:rPr>
              <w:rFonts w:ascii="Century Gothic" w:hAnsi="Century Gothic" w:cs="Helvetica"/>
              <w:color w:val="595959"/>
              <w:sz w:val="14"/>
            </w:rPr>
            <w:t>: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 2009/018985/08) a not-for-profit com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pany registered in South 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Africa </w:t>
          </w:r>
        </w:p>
        <w:p w:rsidR="00501371" w:rsidRPr="00CC56D9" w:rsidRDefault="00B75925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CC56D9">
            <w:rPr>
              <w:rFonts w:ascii="Century Gothic" w:hAnsi="Century Gothic" w:cs="Helvetica"/>
              <w:color w:val="595959"/>
              <w:sz w:val="14"/>
            </w:rPr>
            <w:t>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NPO#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>: 054-906-NPO) 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PBO#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>: 930034124)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 (</w:t>
          </w: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VAT#</w:t>
          </w:r>
          <w:r>
            <w:rPr>
              <w:rFonts w:ascii="Century Gothic" w:hAnsi="Century Gothic" w:cs="Helvetica"/>
              <w:color w:val="595959"/>
              <w:sz w:val="14"/>
            </w:rPr>
            <w:t>: 4480259243)</w:t>
          </w:r>
        </w:p>
        <w:p w:rsidR="00501371" w:rsidRPr="00CC56D9" w:rsidRDefault="00B75925" w:rsidP="00897B9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Century Gothic" w:hAnsi="Century Gothic" w:cs="Helvetica"/>
              <w:color w:val="595959"/>
              <w:sz w:val="14"/>
            </w:rPr>
          </w:pPr>
          <w:r w:rsidRPr="00BF1C5F">
            <w:rPr>
              <w:rFonts w:ascii="Century Gothic" w:hAnsi="Century Gothic" w:cs="Helvetica"/>
              <w:b/>
              <w:color w:val="595959"/>
              <w:sz w:val="14"/>
            </w:rPr>
            <w:t>Directors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: A Bunn, A </w:t>
          </w:r>
          <w:proofErr w:type="spellStart"/>
          <w:r w:rsidRPr="00CC56D9">
            <w:rPr>
              <w:rFonts w:ascii="Century Gothic" w:hAnsi="Century Gothic" w:cs="Helvetica"/>
              <w:color w:val="595959"/>
              <w:sz w:val="14"/>
            </w:rPr>
            <w:t>Campione</w:t>
          </w:r>
          <w:proofErr w:type="spellEnd"/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 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, </w:t>
          </w:r>
          <w:r w:rsidRPr="00CC56D9">
            <w:rPr>
              <w:rFonts w:ascii="Century Gothic" w:hAnsi="Century Gothic" w:cs="Helvetica"/>
              <w:color w:val="595959"/>
              <w:sz w:val="14"/>
            </w:rPr>
            <w:t xml:space="preserve">S Dove, A Gray, D </w:t>
          </w:r>
          <w:proofErr w:type="spellStart"/>
          <w:r w:rsidRPr="00CC56D9">
            <w:rPr>
              <w:rFonts w:ascii="Century Gothic" w:hAnsi="Century Gothic" w:cs="Helvetica"/>
              <w:color w:val="595959"/>
              <w:sz w:val="14"/>
            </w:rPr>
            <w:t>Moodley</w:t>
          </w:r>
          <w:proofErr w:type="spellEnd"/>
          <w:r w:rsidRPr="00CC56D9">
            <w:rPr>
              <w:rFonts w:ascii="Century Gothic" w:hAnsi="Century Gothic" w:cs="Helvetica"/>
              <w:color w:val="595959"/>
              <w:sz w:val="14"/>
            </w:rPr>
            <w:t>,</w:t>
          </w:r>
          <w:r>
            <w:rPr>
              <w:rFonts w:ascii="Century Gothic" w:hAnsi="Century Gothic" w:cs="Helvetica"/>
              <w:color w:val="595959"/>
              <w:sz w:val="14"/>
            </w:rPr>
            <w:t xml:space="preserve"> S Reid, CJ Seebregts, J Smith</w:t>
          </w:r>
        </w:p>
      </w:tc>
      <w:tc>
        <w:tcPr>
          <w:tcW w:w="3969" w:type="dxa"/>
        </w:tcPr>
        <w:p w:rsidR="00501371" w:rsidRDefault="00B75925" w:rsidP="00897B92">
          <w:pPr>
            <w:pStyle w:val="Footer"/>
            <w:jc w:val="both"/>
          </w:pPr>
          <w:r>
            <w:rPr>
              <w:noProof/>
            </w:rPr>
            <w:drawing>
              <wp:inline distT="0" distB="0" distL="0" distR="0">
                <wp:extent cx="1319530" cy="1191895"/>
                <wp:effectExtent l="0" t="0" r="0" b="8255"/>
                <wp:docPr id="1" name="Picture 1" descr="AFRICA_F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RICA_F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371" w:rsidRDefault="00B7592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75925">
    <w:pPr>
      <w:pStyle w:val="Header"/>
    </w:pPr>
  </w:p>
  <w:p w:rsidR="00501371" w:rsidRDefault="00B75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71" w:rsidRDefault="00B75925" w:rsidP="00897B92">
    <w:pPr>
      <w:pStyle w:val="Header"/>
      <w:jc w:val="right"/>
    </w:pPr>
  </w:p>
  <w:p w:rsidR="00501371" w:rsidRDefault="00B75925" w:rsidP="00897B92">
    <w:pPr>
      <w:pStyle w:val="Header"/>
    </w:pPr>
    <w:r>
      <w:rPr>
        <w:noProof/>
      </w:rPr>
      <w:drawing>
        <wp:inline distT="0" distB="0" distL="0" distR="0">
          <wp:extent cx="6123305" cy="1076325"/>
          <wp:effectExtent l="0" t="0" r="0" b="9525"/>
          <wp:docPr id="2" name="Picture 2" descr="JEMBI_LETTERHEAD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MBI_LETTERHEAD_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0FFD"/>
    <w:multiLevelType w:val="hybridMultilevel"/>
    <w:tmpl w:val="41387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46965"/>
    <w:multiLevelType w:val="hybridMultilevel"/>
    <w:tmpl w:val="16EA5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C6883"/>
    <w:multiLevelType w:val="hybridMultilevel"/>
    <w:tmpl w:val="5BB0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25"/>
    <w:rsid w:val="00002DE7"/>
    <w:rsid w:val="000148C0"/>
    <w:rsid w:val="00037CBF"/>
    <w:rsid w:val="000450B9"/>
    <w:rsid w:val="00050D13"/>
    <w:rsid w:val="00070F39"/>
    <w:rsid w:val="00082178"/>
    <w:rsid w:val="000A0FBD"/>
    <w:rsid w:val="000B11E5"/>
    <w:rsid w:val="000C2118"/>
    <w:rsid w:val="000D389A"/>
    <w:rsid w:val="001438CB"/>
    <w:rsid w:val="00147DF2"/>
    <w:rsid w:val="001738E3"/>
    <w:rsid w:val="00192BB4"/>
    <w:rsid w:val="001A4045"/>
    <w:rsid w:val="001A4B6C"/>
    <w:rsid w:val="001A7E28"/>
    <w:rsid w:val="001B46AC"/>
    <w:rsid w:val="001B51F7"/>
    <w:rsid w:val="001C3F89"/>
    <w:rsid w:val="001C4656"/>
    <w:rsid w:val="001E7C05"/>
    <w:rsid w:val="00206634"/>
    <w:rsid w:val="002077E3"/>
    <w:rsid w:val="0021690E"/>
    <w:rsid w:val="002223D5"/>
    <w:rsid w:val="00234EBD"/>
    <w:rsid w:val="00252961"/>
    <w:rsid w:val="0026503B"/>
    <w:rsid w:val="002860ED"/>
    <w:rsid w:val="00290A1F"/>
    <w:rsid w:val="002B5D4B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3814"/>
    <w:rsid w:val="00441241"/>
    <w:rsid w:val="00463226"/>
    <w:rsid w:val="0047445B"/>
    <w:rsid w:val="004C0E15"/>
    <w:rsid w:val="0051015C"/>
    <w:rsid w:val="005303EF"/>
    <w:rsid w:val="00531D27"/>
    <w:rsid w:val="00566911"/>
    <w:rsid w:val="0057482E"/>
    <w:rsid w:val="005856BF"/>
    <w:rsid w:val="005A684C"/>
    <w:rsid w:val="005B4890"/>
    <w:rsid w:val="005C7527"/>
    <w:rsid w:val="005D2E1B"/>
    <w:rsid w:val="005E3841"/>
    <w:rsid w:val="005F2972"/>
    <w:rsid w:val="00610493"/>
    <w:rsid w:val="006530A5"/>
    <w:rsid w:val="00653CB0"/>
    <w:rsid w:val="00664A67"/>
    <w:rsid w:val="00686E54"/>
    <w:rsid w:val="006A187E"/>
    <w:rsid w:val="006A61D3"/>
    <w:rsid w:val="006C4A5F"/>
    <w:rsid w:val="006E1EBA"/>
    <w:rsid w:val="006E58FF"/>
    <w:rsid w:val="006F0A20"/>
    <w:rsid w:val="007271C8"/>
    <w:rsid w:val="00730AFF"/>
    <w:rsid w:val="0079370D"/>
    <w:rsid w:val="007C5951"/>
    <w:rsid w:val="007D1A08"/>
    <w:rsid w:val="007D4964"/>
    <w:rsid w:val="00814613"/>
    <w:rsid w:val="00814A4D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4456"/>
    <w:rsid w:val="0092408E"/>
    <w:rsid w:val="00990FF5"/>
    <w:rsid w:val="009A66DF"/>
    <w:rsid w:val="009B20B3"/>
    <w:rsid w:val="009C1432"/>
    <w:rsid w:val="009D1445"/>
    <w:rsid w:val="009E2722"/>
    <w:rsid w:val="00A02AC2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96E"/>
    <w:rsid w:val="00AD4C0A"/>
    <w:rsid w:val="00AE681C"/>
    <w:rsid w:val="00AF1242"/>
    <w:rsid w:val="00B0313B"/>
    <w:rsid w:val="00B072D6"/>
    <w:rsid w:val="00B15E8F"/>
    <w:rsid w:val="00B30253"/>
    <w:rsid w:val="00B60523"/>
    <w:rsid w:val="00B62A80"/>
    <w:rsid w:val="00B63678"/>
    <w:rsid w:val="00B75925"/>
    <w:rsid w:val="00BD130B"/>
    <w:rsid w:val="00C2100D"/>
    <w:rsid w:val="00C4187F"/>
    <w:rsid w:val="00C43801"/>
    <w:rsid w:val="00C56553"/>
    <w:rsid w:val="00C957A3"/>
    <w:rsid w:val="00CB1002"/>
    <w:rsid w:val="00CC3C9C"/>
    <w:rsid w:val="00D25E6B"/>
    <w:rsid w:val="00D362B9"/>
    <w:rsid w:val="00D556E1"/>
    <w:rsid w:val="00D861AC"/>
    <w:rsid w:val="00DB7175"/>
    <w:rsid w:val="00DC559B"/>
    <w:rsid w:val="00DC7BF0"/>
    <w:rsid w:val="00E00988"/>
    <w:rsid w:val="00E02B8E"/>
    <w:rsid w:val="00E12F37"/>
    <w:rsid w:val="00E86B61"/>
    <w:rsid w:val="00EA4114"/>
    <w:rsid w:val="00EA683E"/>
    <w:rsid w:val="00ED0461"/>
    <w:rsid w:val="00F11FD1"/>
    <w:rsid w:val="00F21861"/>
    <w:rsid w:val="00F2229E"/>
    <w:rsid w:val="00F53EFF"/>
    <w:rsid w:val="00FC1D02"/>
    <w:rsid w:val="00FC2C76"/>
    <w:rsid w:val="00FC709E"/>
    <w:rsid w:val="00FD427E"/>
    <w:rsid w:val="00FE1F2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25"/>
    <w:rPr>
      <w:rFonts w:ascii="Calibri" w:eastAsia="Calibri" w:hAnsi="Calibri" w:cs="Times New Roman"/>
    </w:rPr>
  </w:style>
  <w:style w:type="character" w:styleId="Hyperlink">
    <w:name w:val="Hyperlink"/>
    <w:rsid w:val="00B7592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759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25"/>
    <w:rPr>
      <w:rFonts w:ascii="Calibri" w:eastAsia="Calibri" w:hAnsi="Calibri" w:cs="Times New Roman"/>
    </w:rPr>
  </w:style>
  <w:style w:type="character" w:styleId="Hyperlink">
    <w:name w:val="Hyperlink"/>
    <w:rsid w:val="00B7592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759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jem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2012-09-25T13:07:00Z</dcterms:created>
  <dcterms:modified xsi:type="dcterms:W3CDTF">2012-09-25T13:07:00Z</dcterms:modified>
</cp:coreProperties>
</file>